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5778"/>
        <w:gridCol w:w="3402"/>
      </w:tblGrid>
      <w:tr w:rsidR="002C543E" w:rsidRPr="002C543E" w14:paraId="6A82E1DE" w14:textId="77777777" w:rsidTr="00C4411E">
        <w:tc>
          <w:tcPr>
            <w:tcW w:w="5778" w:type="dxa"/>
            <w:vMerge w:val="restart"/>
            <w:shd w:val="clear" w:color="auto" w:fill="auto"/>
          </w:tcPr>
          <w:p w14:paraId="6418EF4E" w14:textId="77777777" w:rsidR="002C543E" w:rsidRPr="002C543E" w:rsidRDefault="002C543E" w:rsidP="002C543E">
            <w:pPr>
              <w:tabs>
                <w:tab w:val="center" w:pos="2923"/>
              </w:tabs>
              <w:rPr>
                <w:rFonts w:ascii="Frutiger 45 Light" w:eastAsia="Times New Roman" w:hAnsi="Frutiger 45 Light"/>
                <w:szCs w:val="20"/>
                <w:lang w:eastAsia="en-GB"/>
              </w:rPr>
            </w:pPr>
            <w:r w:rsidRPr="002C543E">
              <w:rPr>
                <w:rFonts w:ascii="Arial" w:eastAsia="Times New Roman" w:hAnsi="Arial" w:cs="Arial"/>
                <w:noProof/>
                <w:sz w:val="44"/>
                <w:szCs w:val="44"/>
                <w:lang w:eastAsia="en-GB"/>
              </w:rPr>
              <w:drawing>
                <wp:inline distT="0" distB="0" distL="0" distR="0" wp14:anchorId="65BE0389" wp14:editId="459A84C0">
                  <wp:extent cx="1428750" cy="847725"/>
                  <wp:effectExtent l="0" t="0" r="0" b="9525"/>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402" w:type="dxa"/>
            <w:shd w:val="clear" w:color="auto" w:fill="auto"/>
            <w:vAlign w:val="center"/>
          </w:tcPr>
          <w:p w14:paraId="2BA16A97" w14:textId="77777777" w:rsidR="002C543E" w:rsidRPr="002C543E" w:rsidRDefault="002C543E" w:rsidP="002C543E">
            <w:pPr>
              <w:tabs>
                <w:tab w:val="center" w:pos="4153"/>
                <w:tab w:val="right" w:pos="8306"/>
              </w:tabs>
              <w:rPr>
                <w:rFonts w:ascii="Arial" w:eastAsia="Times New Roman" w:hAnsi="Arial" w:cs="Arial"/>
                <w:b/>
                <w:lang w:eastAsia="en-GB"/>
              </w:rPr>
            </w:pPr>
            <w:r w:rsidRPr="002C543E">
              <w:rPr>
                <w:rFonts w:ascii="Arial" w:eastAsia="Times New Roman" w:hAnsi="Arial" w:cs="Arial"/>
                <w:b/>
                <w:lang w:eastAsia="en-GB"/>
              </w:rPr>
              <w:t>LGA Leadership Board</w:t>
            </w:r>
          </w:p>
        </w:tc>
      </w:tr>
      <w:tr w:rsidR="002C543E" w:rsidRPr="002C543E" w14:paraId="4225127D" w14:textId="77777777" w:rsidTr="00C4411E">
        <w:trPr>
          <w:trHeight w:val="450"/>
        </w:trPr>
        <w:tc>
          <w:tcPr>
            <w:tcW w:w="5778" w:type="dxa"/>
            <w:vMerge/>
            <w:shd w:val="clear" w:color="auto" w:fill="auto"/>
          </w:tcPr>
          <w:p w14:paraId="3A1FF8A3" w14:textId="77777777" w:rsidR="002C543E" w:rsidRPr="002C543E" w:rsidRDefault="002C543E" w:rsidP="002C543E">
            <w:pPr>
              <w:tabs>
                <w:tab w:val="center" w:pos="4153"/>
                <w:tab w:val="right" w:pos="8306"/>
              </w:tabs>
              <w:rPr>
                <w:rFonts w:ascii="Frutiger 45 Light" w:eastAsia="Times New Roman" w:hAnsi="Frutiger 45 Light"/>
                <w:szCs w:val="20"/>
                <w:lang w:eastAsia="en-GB"/>
              </w:rPr>
            </w:pPr>
          </w:p>
        </w:tc>
        <w:tc>
          <w:tcPr>
            <w:tcW w:w="3402" w:type="dxa"/>
            <w:shd w:val="clear" w:color="auto" w:fill="auto"/>
            <w:vAlign w:val="center"/>
          </w:tcPr>
          <w:p w14:paraId="779249C5" w14:textId="4BEB519F" w:rsidR="002C543E" w:rsidRPr="002C543E" w:rsidRDefault="002C543E" w:rsidP="002C543E">
            <w:pPr>
              <w:tabs>
                <w:tab w:val="center" w:pos="4153"/>
                <w:tab w:val="right" w:pos="8306"/>
              </w:tabs>
              <w:spacing w:before="60"/>
              <w:rPr>
                <w:rFonts w:ascii="Arial" w:eastAsia="Times New Roman" w:hAnsi="Arial" w:cs="Arial"/>
                <w:lang w:eastAsia="en-GB"/>
              </w:rPr>
            </w:pPr>
            <w:r w:rsidRPr="002C543E">
              <w:rPr>
                <w:rFonts w:ascii="Arial" w:eastAsia="Times New Roman" w:hAnsi="Arial" w:cs="Arial"/>
                <w:lang w:eastAsia="en-GB"/>
              </w:rPr>
              <w:t>1</w:t>
            </w:r>
            <w:r>
              <w:rPr>
                <w:rFonts w:ascii="Arial" w:eastAsia="Times New Roman" w:hAnsi="Arial" w:cs="Arial"/>
                <w:lang w:eastAsia="en-GB"/>
              </w:rPr>
              <w:t>6 July 2014</w:t>
            </w:r>
          </w:p>
        </w:tc>
      </w:tr>
      <w:tr w:rsidR="002C543E" w:rsidRPr="002C543E" w14:paraId="01639E56" w14:textId="77777777" w:rsidTr="00C4411E">
        <w:trPr>
          <w:trHeight w:val="708"/>
        </w:trPr>
        <w:tc>
          <w:tcPr>
            <w:tcW w:w="5778" w:type="dxa"/>
            <w:vMerge/>
            <w:shd w:val="clear" w:color="auto" w:fill="auto"/>
          </w:tcPr>
          <w:p w14:paraId="23430BEB" w14:textId="77777777" w:rsidR="002C543E" w:rsidRPr="002C543E" w:rsidRDefault="002C543E" w:rsidP="002C543E">
            <w:pPr>
              <w:tabs>
                <w:tab w:val="center" w:pos="4153"/>
                <w:tab w:val="right" w:pos="8306"/>
              </w:tabs>
              <w:rPr>
                <w:rFonts w:ascii="Frutiger 45 Light" w:eastAsia="Times New Roman" w:hAnsi="Frutiger 45 Light"/>
                <w:szCs w:val="20"/>
                <w:lang w:eastAsia="en-GB"/>
              </w:rPr>
            </w:pPr>
          </w:p>
        </w:tc>
        <w:tc>
          <w:tcPr>
            <w:tcW w:w="3402" w:type="dxa"/>
            <w:shd w:val="clear" w:color="auto" w:fill="auto"/>
            <w:vAlign w:val="center"/>
          </w:tcPr>
          <w:p w14:paraId="5E2D0D49" w14:textId="77777777" w:rsidR="002C543E" w:rsidRPr="002C543E" w:rsidRDefault="002C543E" w:rsidP="002C543E">
            <w:pPr>
              <w:tabs>
                <w:tab w:val="center" w:pos="4153"/>
                <w:tab w:val="right" w:pos="8306"/>
              </w:tabs>
              <w:spacing w:before="60"/>
              <w:rPr>
                <w:rFonts w:ascii="Arial" w:eastAsia="Times New Roman" w:hAnsi="Arial" w:cs="Arial"/>
                <w:b/>
                <w:lang w:eastAsia="en-GB"/>
              </w:rPr>
            </w:pPr>
          </w:p>
        </w:tc>
      </w:tr>
    </w:tbl>
    <w:p w14:paraId="40DC06F3" w14:textId="77777777" w:rsidR="00D846A0" w:rsidRDefault="00D846A0" w:rsidP="00D846A0">
      <w:pPr>
        <w:pStyle w:val="NoSpacing"/>
        <w:rPr>
          <w:rFonts w:ascii="Arial" w:hAnsi="Arial" w:cs="Arial"/>
          <w:b/>
          <w:sz w:val="24"/>
        </w:rPr>
      </w:pPr>
    </w:p>
    <w:p w14:paraId="40DC06F4" w14:textId="77777777" w:rsidR="00D846A0" w:rsidRDefault="00D846A0" w:rsidP="00D846A0">
      <w:pPr>
        <w:pStyle w:val="NoSpacing"/>
        <w:rPr>
          <w:rFonts w:ascii="Arial" w:hAnsi="Arial" w:cs="Arial"/>
          <w:b/>
          <w:sz w:val="24"/>
        </w:rPr>
      </w:pPr>
    </w:p>
    <w:p w14:paraId="40DC06F5" w14:textId="77777777" w:rsidR="00D846A0" w:rsidRDefault="00D846A0" w:rsidP="00D846A0">
      <w:pPr>
        <w:pStyle w:val="NoSpacing"/>
        <w:rPr>
          <w:rFonts w:ascii="Arial" w:hAnsi="Arial" w:cs="Arial"/>
          <w:b/>
          <w:sz w:val="24"/>
        </w:rPr>
      </w:pPr>
    </w:p>
    <w:p w14:paraId="40DC06F9" w14:textId="77777777" w:rsidR="00D846A0" w:rsidRPr="002C543E" w:rsidRDefault="00D846A0" w:rsidP="00D846A0">
      <w:pPr>
        <w:pStyle w:val="NoSpacing"/>
        <w:rPr>
          <w:rFonts w:ascii="Arial" w:hAnsi="Arial" w:cs="Arial"/>
          <w:b/>
          <w:sz w:val="28"/>
          <w:szCs w:val="28"/>
        </w:rPr>
      </w:pPr>
      <w:r w:rsidRPr="002C543E">
        <w:rPr>
          <w:rFonts w:ascii="Arial" w:hAnsi="Arial" w:cs="Arial"/>
          <w:b/>
          <w:sz w:val="28"/>
          <w:szCs w:val="28"/>
        </w:rPr>
        <w:t>Communications – quarterly report – April to June 2014</w:t>
      </w:r>
    </w:p>
    <w:p w14:paraId="40DC06FA" w14:textId="77777777" w:rsidR="00D846A0" w:rsidRDefault="00D846A0" w:rsidP="00D846A0">
      <w:pPr>
        <w:pStyle w:val="NoSpacing"/>
        <w:rPr>
          <w:rFonts w:ascii="Arial" w:hAnsi="Arial" w:cs="Arial"/>
          <w:b/>
        </w:rPr>
      </w:pPr>
    </w:p>
    <w:p w14:paraId="40DC06FB" w14:textId="77777777" w:rsidR="00D846A0" w:rsidRPr="000321AF" w:rsidRDefault="00D846A0" w:rsidP="00D846A0">
      <w:pPr>
        <w:pStyle w:val="NoSpacing"/>
        <w:rPr>
          <w:rFonts w:ascii="Arial" w:hAnsi="Arial" w:cs="Arial"/>
          <w:b/>
        </w:rPr>
      </w:pPr>
      <w:r w:rsidRPr="000321AF">
        <w:rPr>
          <w:rFonts w:ascii="Arial" w:hAnsi="Arial" w:cs="Arial"/>
          <w:b/>
        </w:rPr>
        <w:t>Purpose of report</w:t>
      </w:r>
    </w:p>
    <w:p w14:paraId="40DC06FC" w14:textId="77777777" w:rsidR="00D846A0" w:rsidRDefault="00D846A0" w:rsidP="00D846A0">
      <w:pPr>
        <w:pStyle w:val="NoSpacing"/>
        <w:rPr>
          <w:rFonts w:ascii="Arial" w:hAnsi="Arial" w:cs="Arial"/>
          <w:b/>
          <w:sz w:val="20"/>
        </w:rPr>
      </w:pPr>
    </w:p>
    <w:p w14:paraId="40DC06FD" w14:textId="77777777" w:rsidR="00D846A0" w:rsidRDefault="00D846A0" w:rsidP="00D846A0">
      <w:pPr>
        <w:pStyle w:val="NoSpacing"/>
        <w:rPr>
          <w:rFonts w:ascii="Arial" w:hAnsi="Arial" w:cs="Arial"/>
        </w:rPr>
      </w:pPr>
      <w:proofErr w:type="gramStart"/>
      <w:r w:rsidRPr="000321AF">
        <w:rPr>
          <w:rFonts w:ascii="Arial" w:hAnsi="Arial" w:cs="Arial"/>
        </w:rPr>
        <w:t xml:space="preserve">To outline </w:t>
      </w:r>
      <w:r>
        <w:rPr>
          <w:rFonts w:ascii="Arial" w:hAnsi="Arial" w:cs="Arial"/>
        </w:rPr>
        <w:t xml:space="preserve">communications </w:t>
      </w:r>
      <w:r w:rsidRPr="000321AF">
        <w:rPr>
          <w:rFonts w:ascii="Arial" w:hAnsi="Arial" w:cs="Arial"/>
        </w:rPr>
        <w:t xml:space="preserve">activity between </w:t>
      </w:r>
      <w:r>
        <w:rPr>
          <w:rFonts w:ascii="Arial" w:hAnsi="Arial" w:cs="Arial"/>
        </w:rPr>
        <w:t>April and June 2014.</w:t>
      </w:r>
      <w:proofErr w:type="gramEnd"/>
    </w:p>
    <w:p w14:paraId="40DC06FE" w14:textId="77777777" w:rsidR="00D846A0" w:rsidRDefault="00D846A0" w:rsidP="00D846A0">
      <w:pPr>
        <w:pStyle w:val="NoSpacing"/>
        <w:rPr>
          <w:rFonts w:ascii="Arial" w:hAnsi="Arial" w:cs="Arial"/>
        </w:rPr>
      </w:pPr>
    </w:p>
    <w:p w14:paraId="40DC06FF" w14:textId="77777777" w:rsidR="00D846A0" w:rsidRDefault="00D846A0" w:rsidP="00D846A0">
      <w:pPr>
        <w:pStyle w:val="NoSpacing"/>
        <w:rPr>
          <w:rFonts w:ascii="Arial" w:hAnsi="Arial" w:cs="Arial"/>
          <w:b/>
        </w:rPr>
      </w:pPr>
      <w:r w:rsidRPr="000321AF">
        <w:rPr>
          <w:rFonts w:ascii="Arial" w:hAnsi="Arial" w:cs="Arial"/>
          <w:b/>
        </w:rPr>
        <w:t>Summary</w:t>
      </w:r>
    </w:p>
    <w:p w14:paraId="40DC0700" w14:textId="77777777" w:rsidR="00D846A0" w:rsidRDefault="00D846A0" w:rsidP="00D846A0">
      <w:pPr>
        <w:pStyle w:val="NoSpacing"/>
        <w:rPr>
          <w:rFonts w:ascii="Arial" w:hAnsi="Arial" w:cs="Arial"/>
          <w:b/>
        </w:rPr>
      </w:pPr>
    </w:p>
    <w:p w14:paraId="40DC0701" w14:textId="77777777" w:rsidR="00D846A0" w:rsidRDefault="00D846A0" w:rsidP="00D846A0">
      <w:pPr>
        <w:pStyle w:val="NoSpacing"/>
        <w:rPr>
          <w:rFonts w:ascii="Arial" w:hAnsi="Arial" w:cs="Arial"/>
        </w:rPr>
      </w:pPr>
      <w:r>
        <w:rPr>
          <w:rFonts w:ascii="Arial" w:hAnsi="Arial" w:cs="Arial"/>
        </w:rPr>
        <w:t xml:space="preserve">Since December 2012, and following the publication of </w:t>
      </w:r>
      <w:proofErr w:type="gramStart"/>
      <w:r>
        <w:rPr>
          <w:rFonts w:ascii="Arial" w:hAnsi="Arial" w:cs="Arial"/>
        </w:rPr>
        <w:t>the o</w:t>
      </w:r>
      <w:r w:rsidR="00F35C63">
        <w:rPr>
          <w:rFonts w:ascii="Arial" w:hAnsi="Arial" w:cs="Arial"/>
        </w:rPr>
        <w:t>ur</w:t>
      </w:r>
      <w:proofErr w:type="gramEnd"/>
      <w:r w:rsidR="00F35C63">
        <w:rPr>
          <w:rFonts w:ascii="Arial" w:hAnsi="Arial" w:cs="Arial"/>
        </w:rPr>
        <w:t xml:space="preserve"> </w:t>
      </w:r>
      <w:r>
        <w:rPr>
          <w:rFonts w:ascii="Arial" w:hAnsi="Arial" w:cs="Arial"/>
        </w:rPr>
        <w:t>communication</w:t>
      </w:r>
      <w:r w:rsidR="00F35C63">
        <w:rPr>
          <w:rFonts w:ascii="Arial" w:hAnsi="Arial" w:cs="Arial"/>
        </w:rPr>
        <w:t>s</w:t>
      </w:r>
      <w:r>
        <w:rPr>
          <w:rFonts w:ascii="Arial" w:hAnsi="Arial" w:cs="Arial"/>
        </w:rPr>
        <w:t xml:space="preserve"> plan and strategy, a monitoring and evaluation system has been developed to allow tracking and recording media coverage. As well as volume of media activity, it also allows the tone of coverage (positive or negative) and ratio of proactive and reactive coverage to be measured.</w:t>
      </w:r>
    </w:p>
    <w:p w14:paraId="40DC0702" w14:textId="77777777" w:rsidR="00D846A0" w:rsidRDefault="00D846A0" w:rsidP="00D846A0">
      <w:pPr>
        <w:pStyle w:val="NoSpacing"/>
        <w:rPr>
          <w:rFonts w:ascii="Arial" w:hAnsi="Arial" w:cs="Arial"/>
        </w:rPr>
      </w:pPr>
    </w:p>
    <w:p w14:paraId="40DC0703" w14:textId="77777777" w:rsidR="00D846A0" w:rsidRDefault="00D846A0" w:rsidP="00D846A0">
      <w:pPr>
        <w:pStyle w:val="NoSpacing"/>
        <w:rPr>
          <w:rFonts w:ascii="Arial" w:hAnsi="Arial" w:cs="Arial"/>
        </w:rPr>
      </w:pPr>
      <w:r>
        <w:rPr>
          <w:rFonts w:ascii="Arial" w:hAnsi="Arial" w:cs="Arial"/>
        </w:rPr>
        <w:t xml:space="preserve">The main results for April to June 2014 are: </w:t>
      </w:r>
    </w:p>
    <w:p w14:paraId="40DC0704" w14:textId="77777777" w:rsidR="00D846A0" w:rsidRDefault="00D846A0" w:rsidP="00D846A0">
      <w:pPr>
        <w:pStyle w:val="NoSpacing"/>
        <w:rPr>
          <w:rFonts w:ascii="Arial" w:hAnsi="Arial" w:cs="Arial"/>
        </w:rPr>
      </w:pPr>
    </w:p>
    <w:p w14:paraId="40DC0705" w14:textId="77777777" w:rsidR="00D846A0" w:rsidRDefault="00D846A0" w:rsidP="00D846A0">
      <w:pPr>
        <w:pStyle w:val="NoSpacing"/>
        <w:numPr>
          <w:ilvl w:val="0"/>
          <w:numId w:val="1"/>
        </w:numPr>
        <w:rPr>
          <w:rFonts w:ascii="Arial" w:hAnsi="Arial" w:cs="Arial"/>
        </w:rPr>
      </w:pPr>
      <w:r>
        <w:rPr>
          <w:rFonts w:ascii="Arial" w:hAnsi="Arial" w:cs="Arial"/>
        </w:rPr>
        <w:t xml:space="preserve">National media mentions </w:t>
      </w:r>
      <w:r w:rsidR="001924B1" w:rsidRPr="007E738C">
        <w:rPr>
          <w:rFonts w:ascii="Arial" w:hAnsi="Arial" w:cs="Arial"/>
        </w:rPr>
        <w:t>slightly</w:t>
      </w:r>
      <w:r w:rsidR="004E3A55" w:rsidRPr="007E738C">
        <w:rPr>
          <w:rFonts w:ascii="Arial" w:hAnsi="Arial" w:cs="Arial"/>
        </w:rPr>
        <w:t xml:space="preserve"> down 3</w:t>
      </w:r>
      <w:r w:rsidRPr="007E738C">
        <w:rPr>
          <w:rFonts w:ascii="Arial" w:hAnsi="Arial" w:cs="Arial"/>
        </w:rPr>
        <w:t xml:space="preserve"> per cent</w:t>
      </w:r>
      <w:r>
        <w:rPr>
          <w:rFonts w:ascii="Arial" w:hAnsi="Arial" w:cs="Arial"/>
        </w:rPr>
        <w:t xml:space="preserve"> </w:t>
      </w:r>
      <w:r w:rsidRPr="00F74F26">
        <w:rPr>
          <w:rFonts w:ascii="Arial" w:hAnsi="Arial" w:cs="Arial"/>
          <w:u w:val="single"/>
        </w:rPr>
        <w:t>year-on-year</w:t>
      </w:r>
      <w:r w:rsidR="004E3A55">
        <w:rPr>
          <w:rFonts w:ascii="Arial" w:hAnsi="Arial" w:cs="Arial"/>
        </w:rPr>
        <w:t xml:space="preserve"> from </w:t>
      </w:r>
      <w:r w:rsidR="004E3A55" w:rsidRPr="007E738C">
        <w:rPr>
          <w:rFonts w:ascii="Arial" w:hAnsi="Arial" w:cs="Arial"/>
          <w:b/>
        </w:rPr>
        <w:t>306</w:t>
      </w:r>
      <w:r>
        <w:rPr>
          <w:rFonts w:ascii="Arial" w:hAnsi="Arial" w:cs="Arial"/>
        </w:rPr>
        <w:t xml:space="preserve"> in</w:t>
      </w:r>
      <w:r w:rsidR="004E3A55">
        <w:rPr>
          <w:rFonts w:ascii="Arial" w:hAnsi="Arial" w:cs="Arial"/>
        </w:rPr>
        <w:t xml:space="preserve"> the same period for 2013 to </w:t>
      </w:r>
      <w:r w:rsidR="004E3A55" w:rsidRPr="007E738C">
        <w:rPr>
          <w:rFonts w:ascii="Arial" w:hAnsi="Arial" w:cs="Arial"/>
          <w:b/>
        </w:rPr>
        <w:t>295</w:t>
      </w:r>
      <w:r>
        <w:rPr>
          <w:rFonts w:ascii="Arial" w:hAnsi="Arial" w:cs="Arial"/>
        </w:rPr>
        <w:t xml:space="preserve"> in </w:t>
      </w:r>
      <w:r w:rsidR="00F35C63">
        <w:rPr>
          <w:rFonts w:ascii="Arial" w:hAnsi="Arial" w:cs="Arial"/>
        </w:rPr>
        <w:t xml:space="preserve">the first quarter of </w:t>
      </w:r>
      <w:r>
        <w:rPr>
          <w:rFonts w:ascii="Arial" w:hAnsi="Arial" w:cs="Arial"/>
        </w:rPr>
        <w:t>2014.</w:t>
      </w:r>
      <w:r w:rsidR="007E738C">
        <w:rPr>
          <w:rFonts w:ascii="Arial" w:hAnsi="Arial" w:cs="Arial"/>
        </w:rPr>
        <w:t xml:space="preserve"> This is </w:t>
      </w:r>
      <w:r w:rsidR="00F35C63">
        <w:rPr>
          <w:rFonts w:ascii="Arial" w:hAnsi="Arial" w:cs="Arial"/>
        </w:rPr>
        <w:t xml:space="preserve">mainly </w:t>
      </w:r>
      <w:r w:rsidR="007E738C">
        <w:rPr>
          <w:rFonts w:ascii="Arial" w:hAnsi="Arial" w:cs="Arial"/>
        </w:rPr>
        <w:t>attributable to</w:t>
      </w:r>
      <w:r w:rsidR="00C65066">
        <w:rPr>
          <w:rFonts w:ascii="Arial" w:hAnsi="Arial" w:cs="Arial"/>
        </w:rPr>
        <w:t xml:space="preserve"> </w:t>
      </w:r>
      <w:r w:rsidR="007E738C">
        <w:rPr>
          <w:rFonts w:ascii="Arial" w:hAnsi="Arial" w:cs="Arial"/>
        </w:rPr>
        <w:t>extensive coverage on the Spending Round in 2013.</w:t>
      </w:r>
    </w:p>
    <w:p w14:paraId="40DC0706" w14:textId="77777777" w:rsidR="00D846A0" w:rsidRDefault="00D846A0" w:rsidP="001150E4">
      <w:pPr>
        <w:pStyle w:val="NoSpacing"/>
        <w:rPr>
          <w:rFonts w:ascii="Arial" w:hAnsi="Arial" w:cs="Arial"/>
        </w:rPr>
      </w:pPr>
    </w:p>
    <w:p w14:paraId="40DC0707" w14:textId="77777777" w:rsidR="00D846A0" w:rsidRDefault="001150E4" w:rsidP="00D846A0">
      <w:pPr>
        <w:pStyle w:val="NoSpacing"/>
        <w:numPr>
          <w:ilvl w:val="0"/>
          <w:numId w:val="1"/>
        </w:numPr>
        <w:rPr>
          <w:rFonts w:ascii="Arial" w:hAnsi="Arial" w:cs="Arial"/>
        </w:rPr>
      </w:pPr>
      <w:r w:rsidRPr="00A53B5E">
        <w:rPr>
          <w:rFonts w:ascii="Arial" w:hAnsi="Arial" w:cs="Arial"/>
          <w:b/>
        </w:rPr>
        <w:t>85</w:t>
      </w:r>
      <w:r w:rsidR="00D846A0" w:rsidRPr="00A53B5E">
        <w:rPr>
          <w:rFonts w:ascii="Arial" w:hAnsi="Arial" w:cs="Arial"/>
          <w:b/>
        </w:rPr>
        <w:t xml:space="preserve"> per cent</w:t>
      </w:r>
      <w:r w:rsidR="00D846A0">
        <w:rPr>
          <w:rFonts w:ascii="Arial" w:hAnsi="Arial" w:cs="Arial"/>
        </w:rPr>
        <w:t xml:space="preserve"> of coverage was through pro-active media work</w:t>
      </w:r>
      <w:r w:rsidR="00F35C63">
        <w:rPr>
          <w:rFonts w:ascii="Arial" w:hAnsi="Arial" w:cs="Arial"/>
        </w:rPr>
        <w:t xml:space="preserve"> against our target of 75 per cent</w:t>
      </w:r>
      <w:r w:rsidR="00D846A0">
        <w:rPr>
          <w:rFonts w:ascii="Arial" w:hAnsi="Arial" w:cs="Arial"/>
        </w:rPr>
        <w:t>.</w:t>
      </w:r>
    </w:p>
    <w:p w14:paraId="40DC0708" w14:textId="77777777" w:rsidR="00D846A0" w:rsidRDefault="00D846A0" w:rsidP="00D846A0">
      <w:pPr>
        <w:pStyle w:val="NoSpacing"/>
        <w:rPr>
          <w:rFonts w:ascii="Arial" w:hAnsi="Arial" w:cs="Arial"/>
        </w:rPr>
      </w:pPr>
    </w:p>
    <w:p w14:paraId="40DC0709" w14:textId="77777777" w:rsidR="00D846A0" w:rsidRDefault="001150E4" w:rsidP="00D846A0">
      <w:pPr>
        <w:pStyle w:val="NoSpacing"/>
        <w:numPr>
          <w:ilvl w:val="0"/>
          <w:numId w:val="1"/>
        </w:numPr>
        <w:rPr>
          <w:rFonts w:ascii="Arial" w:hAnsi="Arial" w:cs="Arial"/>
        </w:rPr>
      </w:pPr>
      <w:r w:rsidRPr="00A53B5E">
        <w:rPr>
          <w:rFonts w:ascii="Arial" w:hAnsi="Arial" w:cs="Arial"/>
          <w:b/>
        </w:rPr>
        <w:t>79</w:t>
      </w:r>
      <w:r w:rsidR="00D846A0" w:rsidRPr="00A53B5E">
        <w:rPr>
          <w:rFonts w:ascii="Arial" w:hAnsi="Arial" w:cs="Arial"/>
          <w:b/>
        </w:rPr>
        <w:t xml:space="preserve"> per cent</w:t>
      </w:r>
      <w:r w:rsidR="00D846A0">
        <w:rPr>
          <w:rFonts w:ascii="Arial" w:hAnsi="Arial" w:cs="Arial"/>
        </w:rPr>
        <w:t xml:space="preserve"> of our national coverage was positive.</w:t>
      </w:r>
    </w:p>
    <w:p w14:paraId="40DC070A" w14:textId="77777777" w:rsidR="00D846A0" w:rsidRDefault="00D846A0" w:rsidP="00D846A0">
      <w:pPr>
        <w:pStyle w:val="NoSpacing"/>
        <w:rPr>
          <w:rFonts w:ascii="Arial" w:hAnsi="Arial" w:cs="Arial"/>
        </w:rPr>
      </w:pPr>
    </w:p>
    <w:p w14:paraId="40DC070B" w14:textId="77777777" w:rsidR="00D846A0" w:rsidRDefault="00DC25F1" w:rsidP="00D846A0">
      <w:pPr>
        <w:pStyle w:val="NoSpacing"/>
        <w:numPr>
          <w:ilvl w:val="0"/>
          <w:numId w:val="1"/>
        </w:numPr>
        <w:rPr>
          <w:rFonts w:ascii="Arial" w:hAnsi="Arial" w:cs="Arial"/>
        </w:rPr>
      </w:pPr>
      <w:r>
        <w:rPr>
          <w:rFonts w:ascii="Arial" w:hAnsi="Arial" w:cs="Arial"/>
        </w:rPr>
        <w:t xml:space="preserve">More than </w:t>
      </w:r>
      <w:r w:rsidRPr="00DC25F1">
        <w:rPr>
          <w:rFonts w:ascii="Arial" w:hAnsi="Arial" w:cs="Arial"/>
          <w:b/>
        </w:rPr>
        <w:t>1.2 million</w:t>
      </w:r>
      <w:r>
        <w:rPr>
          <w:rFonts w:ascii="Arial" w:hAnsi="Arial" w:cs="Arial"/>
        </w:rPr>
        <w:t xml:space="preserve"> website page views </w:t>
      </w:r>
      <w:r w:rsidR="00D846A0">
        <w:rPr>
          <w:rFonts w:ascii="Arial" w:hAnsi="Arial" w:cs="Arial"/>
        </w:rPr>
        <w:t xml:space="preserve">by more than </w:t>
      </w:r>
      <w:r>
        <w:rPr>
          <w:rFonts w:ascii="Arial" w:hAnsi="Arial" w:cs="Arial"/>
          <w:b/>
        </w:rPr>
        <w:t>230,000</w:t>
      </w:r>
      <w:r w:rsidR="00D846A0">
        <w:rPr>
          <w:rFonts w:ascii="Arial" w:hAnsi="Arial" w:cs="Arial"/>
        </w:rPr>
        <w:t xml:space="preserve"> unique users</w:t>
      </w:r>
      <w:r>
        <w:rPr>
          <w:rFonts w:ascii="Arial" w:hAnsi="Arial" w:cs="Arial"/>
        </w:rPr>
        <w:t>.</w:t>
      </w:r>
    </w:p>
    <w:p w14:paraId="40DC070C" w14:textId="77777777" w:rsidR="00DC25F1" w:rsidRDefault="00DC25F1" w:rsidP="00D846A0">
      <w:pPr>
        <w:pStyle w:val="NoSpacing"/>
        <w:rPr>
          <w:rFonts w:ascii="Arial" w:hAnsi="Arial" w:cs="Arial"/>
        </w:rPr>
      </w:pPr>
    </w:p>
    <w:p w14:paraId="40DC070D" w14:textId="77777777" w:rsidR="00D846A0" w:rsidRDefault="00E2377C" w:rsidP="00D846A0">
      <w:pPr>
        <w:pStyle w:val="NoSpacing"/>
        <w:numPr>
          <w:ilvl w:val="0"/>
          <w:numId w:val="1"/>
        </w:numPr>
        <w:rPr>
          <w:rFonts w:ascii="Arial" w:hAnsi="Arial" w:cs="Arial"/>
        </w:rPr>
      </w:pPr>
      <w:r>
        <w:rPr>
          <w:rFonts w:ascii="Arial" w:hAnsi="Arial" w:cs="Arial"/>
          <w:b/>
        </w:rPr>
        <w:t>274</w:t>
      </w:r>
      <w:r w:rsidR="00D846A0" w:rsidRPr="00A53B5E">
        <w:rPr>
          <w:rFonts w:ascii="Arial" w:hAnsi="Arial" w:cs="Arial"/>
          <w:b/>
        </w:rPr>
        <w:t xml:space="preserve"> </w:t>
      </w:r>
      <w:r w:rsidR="00D846A0">
        <w:rPr>
          <w:rFonts w:ascii="Arial" w:hAnsi="Arial" w:cs="Arial"/>
        </w:rPr>
        <w:t>mentions of the LGA in Parliament from April to June.</w:t>
      </w:r>
    </w:p>
    <w:p w14:paraId="40DC070E" w14:textId="77777777" w:rsidR="00D846A0" w:rsidRDefault="00D846A0" w:rsidP="00D846A0">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D846A0" w14:paraId="40DC0713" w14:textId="77777777" w:rsidTr="009E2E83">
        <w:tc>
          <w:tcPr>
            <w:tcW w:w="9242" w:type="dxa"/>
          </w:tcPr>
          <w:p w14:paraId="3DB324F3" w14:textId="77777777" w:rsidR="006548F2" w:rsidRDefault="006548F2" w:rsidP="009E2E83">
            <w:pPr>
              <w:pStyle w:val="NoSpacing"/>
              <w:rPr>
                <w:rFonts w:ascii="Arial" w:hAnsi="Arial" w:cs="Arial"/>
                <w:b/>
              </w:rPr>
            </w:pPr>
          </w:p>
          <w:p w14:paraId="40DC070F" w14:textId="77777777" w:rsidR="00D846A0" w:rsidRPr="000321AF" w:rsidRDefault="00D846A0" w:rsidP="009E2E83">
            <w:pPr>
              <w:pStyle w:val="NoSpacing"/>
              <w:rPr>
                <w:rFonts w:ascii="Arial" w:hAnsi="Arial" w:cs="Arial"/>
                <w:b/>
              </w:rPr>
            </w:pPr>
            <w:r w:rsidRPr="000321AF">
              <w:rPr>
                <w:rFonts w:ascii="Arial" w:hAnsi="Arial" w:cs="Arial"/>
                <w:b/>
              </w:rPr>
              <w:t>Recommendation</w:t>
            </w:r>
          </w:p>
          <w:p w14:paraId="1C9D5220" w14:textId="77777777" w:rsidR="006548F2" w:rsidRDefault="006548F2" w:rsidP="009E2E83">
            <w:pPr>
              <w:pStyle w:val="NoSpacing"/>
              <w:rPr>
                <w:rFonts w:ascii="Arial" w:hAnsi="Arial" w:cs="Arial"/>
              </w:rPr>
            </w:pPr>
          </w:p>
          <w:p w14:paraId="40DC0710" w14:textId="7E204EBC" w:rsidR="00D846A0" w:rsidRDefault="006548F2" w:rsidP="009E2E83">
            <w:pPr>
              <w:pStyle w:val="NoSpacing"/>
              <w:rPr>
                <w:rFonts w:ascii="Arial" w:hAnsi="Arial" w:cs="Arial"/>
              </w:rPr>
            </w:pPr>
            <w:r>
              <w:rPr>
                <w:rFonts w:ascii="Arial" w:hAnsi="Arial" w:cs="Arial"/>
              </w:rPr>
              <w:t xml:space="preserve">That the </w:t>
            </w:r>
            <w:r w:rsidR="00D846A0">
              <w:rPr>
                <w:rFonts w:ascii="Arial" w:hAnsi="Arial" w:cs="Arial"/>
              </w:rPr>
              <w:t>Leadership Board note</w:t>
            </w:r>
            <w:r>
              <w:rPr>
                <w:rFonts w:ascii="Arial" w:hAnsi="Arial" w:cs="Arial"/>
              </w:rPr>
              <w:t>s</w:t>
            </w:r>
            <w:r w:rsidR="00D846A0">
              <w:rPr>
                <w:rFonts w:ascii="Arial" w:hAnsi="Arial" w:cs="Arial"/>
              </w:rPr>
              <w:t xml:space="preserve"> the communications activity for the period April to June 201</w:t>
            </w:r>
            <w:r w:rsidR="001E645A">
              <w:rPr>
                <w:rFonts w:ascii="Arial" w:hAnsi="Arial" w:cs="Arial"/>
              </w:rPr>
              <w:t>4</w:t>
            </w:r>
            <w:r w:rsidR="00D846A0">
              <w:rPr>
                <w:rFonts w:ascii="Arial" w:hAnsi="Arial" w:cs="Arial"/>
              </w:rPr>
              <w:t>.</w:t>
            </w:r>
          </w:p>
          <w:p w14:paraId="40DC0711" w14:textId="77777777" w:rsidR="00D846A0" w:rsidRDefault="00D846A0" w:rsidP="009E2E83">
            <w:pPr>
              <w:pStyle w:val="NoSpacing"/>
              <w:rPr>
                <w:rFonts w:ascii="Arial" w:hAnsi="Arial" w:cs="Arial"/>
              </w:rPr>
            </w:pPr>
          </w:p>
          <w:p w14:paraId="38798A38" w14:textId="77777777" w:rsidR="00D846A0" w:rsidRDefault="00D846A0" w:rsidP="009E2E83">
            <w:pPr>
              <w:pStyle w:val="NoSpacing"/>
              <w:rPr>
                <w:rFonts w:ascii="Arial" w:hAnsi="Arial" w:cs="Arial"/>
              </w:rPr>
            </w:pPr>
            <w:r w:rsidRPr="000321AF">
              <w:rPr>
                <w:rFonts w:ascii="Arial" w:hAnsi="Arial" w:cs="Arial"/>
                <w:b/>
              </w:rPr>
              <w:t>Action</w:t>
            </w:r>
            <w:r>
              <w:rPr>
                <w:rFonts w:ascii="Arial" w:hAnsi="Arial" w:cs="Arial"/>
              </w:rPr>
              <w:t xml:space="preserve"> None.</w:t>
            </w:r>
          </w:p>
          <w:p w14:paraId="40DC0712" w14:textId="77777777" w:rsidR="006548F2" w:rsidRDefault="006548F2" w:rsidP="009E2E83">
            <w:pPr>
              <w:pStyle w:val="NoSpacing"/>
              <w:rPr>
                <w:rFonts w:ascii="Arial" w:hAnsi="Arial" w:cs="Arial"/>
              </w:rPr>
            </w:pPr>
          </w:p>
        </w:tc>
      </w:tr>
    </w:tbl>
    <w:p w14:paraId="40DC0714" w14:textId="77777777" w:rsidR="00D846A0" w:rsidRDefault="00D846A0" w:rsidP="00D846A0">
      <w:pPr>
        <w:pStyle w:val="NoSpacing"/>
        <w:rPr>
          <w:rFonts w:ascii="Arial" w:hAnsi="Arial" w:cs="Arial"/>
        </w:rPr>
      </w:pPr>
    </w:p>
    <w:p w14:paraId="40DC0715" w14:textId="77777777" w:rsidR="00D846A0" w:rsidRDefault="00D846A0" w:rsidP="00D846A0">
      <w:pPr>
        <w:pStyle w:val="NoSpacing"/>
        <w:rPr>
          <w:rFonts w:ascii="Arial" w:hAnsi="Arial" w:cs="Arial"/>
        </w:rPr>
      </w:pPr>
      <w:r>
        <w:rPr>
          <w:rFonts w:ascii="Arial" w:hAnsi="Arial" w:cs="Arial"/>
        </w:rPr>
        <w:t xml:space="preserve">Contact officer: </w:t>
      </w:r>
      <w:r>
        <w:rPr>
          <w:rFonts w:ascii="Arial" w:hAnsi="Arial" w:cs="Arial"/>
        </w:rPr>
        <w:tab/>
        <w:t>David Holdstock</w:t>
      </w:r>
    </w:p>
    <w:p w14:paraId="40DC0716" w14:textId="77777777" w:rsidR="00D846A0" w:rsidRDefault="00D846A0" w:rsidP="00D846A0">
      <w:pPr>
        <w:pStyle w:val="NoSpacing"/>
        <w:rPr>
          <w:rFonts w:ascii="Arial" w:hAnsi="Arial" w:cs="Arial"/>
        </w:rPr>
      </w:pPr>
    </w:p>
    <w:p w14:paraId="40DC0717" w14:textId="77777777" w:rsidR="00D846A0" w:rsidRDefault="00D846A0" w:rsidP="00D846A0">
      <w:pPr>
        <w:pStyle w:val="NoSpacing"/>
        <w:rPr>
          <w:rFonts w:ascii="Arial" w:hAnsi="Arial" w:cs="Arial"/>
        </w:rPr>
      </w:pPr>
      <w:r>
        <w:rPr>
          <w:rFonts w:ascii="Arial" w:hAnsi="Arial" w:cs="Arial"/>
        </w:rPr>
        <w:t xml:space="preserve">Position: </w:t>
      </w:r>
      <w:r>
        <w:rPr>
          <w:rFonts w:ascii="Arial" w:hAnsi="Arial" w:cs="Arial"/>
        </w:rPr>
        <w:tab/>
      </w:r>
      <w:r>
        <w:rPr>
          <w:rFonts w:ascii="Arial" w:hAnsi="Arial" w:cs="Arial"/>
        </w:rPr>
        <w:tab/>
        <w:t>Director of Communications</w:t>
      </w:r>
    </w:p>
    <w:p w14:paraId="40DC0718" w14:textId="77777777" w:rsidR="00D846A0" w:rsidRDefault="00D846A0" w:rsidP="00D846A0">
      <w:pPr>
        <w:pStyle w:val="NoSpacing"/>
        <w:rPr>
          <w:rFonts w:ascii="Arial" w:hAnsi="Arial" w:cs="Arial"/>
        </w:rPr>
      </w:pPr>
    </w:p>
    <w:p w14:paraId="40DC0719" w14:textId="77777777" w:rsidR="00D846A0" w:rsidRDefault="00D846A0" w:rsidP="00D846A0">
      <w:pPr>
        <w:pStyle w:val="NoSpacing"/>
        <w:rPr>
          <w:rFonts w:ascii="Arial" w:hAnsi="Arial" w:cs="Arial"/>
        </w:rPr>
      </w:pPr>
      <w:r>
        <w:rPr>
          <w:rFonts w:ascii="Arial" w:hAnsi="Arial" w:cs="Arial"/>
        </w:rPr>
        <w:t xml:space="preserve">Phone no: </w:t>
      </w:r>
      <w:r>
        <w:rPr>
          <w:rFonts w:ascii="Arial" w:hAnsi="Arial" w:cs="Arial"/>
        </w:rPr>
        <w:tab/>
      </w:r>
      <w:r>
        <w:rPr>
          <w:rFonts w:ascii="Arial" w:hAnsi="Arial" w:cs="Arial"/>
        </w:rPr>
        <w:tab/>
        <w:t>020 7664 3056</w:t>
      </w:r>
      <w:r>
        <w:rPr>
          <w:rFonts w:ascii="Arial" w:hAnsi="Arial" w:cs="Arial"/>
        </w:rPr>
        <w:tab/>
      </w:r>
    </w:p>
    <w:p w14:paraId="40DC071A" w14:textId="77777777" w:rsidR="00D846A0" w:rsidRDefault="00D846A0" w:rsidP="00D846A0">
      <w:pPr>
        <w:pStyle w:val="NoSpacing"/>
        <w:rPr>
          <w:rFonts w:ascii="Arial" w:hAnsi="Arial" w:cs="Arial"/>
        </w:rPr>
      </w:pPr>
    </w:p>
    <w:p w14:paraId="40DC071B" w14:textId="77777777" w:rsidR="00D846A0" w:rsidRPr="00E178E1" w:rsidRDefault="00D846A0" w:rsidP="00D846A0">
      <w:pPr>
        <w:pStyle w:val="NoSpacing"/>
        <w:rPr>
          <w:rFonts w:ascii="Arial" w:hAnsi="Arial" w:cs="Arial"/>
          <w:lang w:val="fr-FR"/>
        </w:rPr>
      </w:pPr>
      <w:r w:rsidRPr="00E178E1">
        <w:rPr>
          <w:rFonts w:ascii="Arial" w:hAnsi="Arial" w:cs="Arial"/>
          <w:lang w:val="fr-FR"/>
        </w:rPr>
        <w:t xml:space="preserve">E-mail: </w:t>
      </w:r>
      <w:r w:rsidRPr="00E178E1">
        <w:rPr>
          <w:rFonts w:ascii="Arial" w:hAnsi="Arial" w:cs="Arial"/>
          <w:lang w:val="fr-FR"/>
        </w:rPr>
        <w:tab/>
      </w:r>
      <w:r w:rsidRPr="00E178E1">
        <w:rPr>
          <w:rFonts w:ascii="Arial" w:hAnsi="Arial" w:cs="Arial"/>
          <w:lang w:val="fr-FR"/>
        </w:rPr>
        <w:tab/>
      </w:r>
      <w:hyperlink r:id="rId7" w:history="1">
        <w:r w:rsidRPr="00E178E1">
          <w:rPr>
            <w:rStyle w:val="Hyperlink"/>
            <w:rFonts w:ascii="Arial" w:hAnsi="Arial" w:cs="Arial"/>
            <w:lang w:val="fr-FR"/>
          </w:rPr>
          <w:t>David.holdstock@local.gov.uk</w:t>
        </w:r>
      </w:hyperlink>
    </w:p>
    <w:p w14:paraId="40DC071C" w14:textId="77777777" w:rsidR="00D846A0" w:rsidRPr="00E178E1" w:rsidRDefault="00D846A0" w:rsidP="00D846A0">
      <w:pPr>
        <w:pStyle w:val="NoSpacing"/>
        <w:rPr>
          <w:rFonts w:ascii="Arial" w:hAnsi="Arial" w:cs="Arial"/>
          <w:lang w:val="fr-FR"/>
        </w:rPr>
      </w:pPr>
    </w:p>
    <w:tbl>
      <w:tblPr>
        <w:tblW w:w="0" w:type="auto"/>
        <w:tblLook w:val="01E0" w:firstRow="1" w:lastRow="1" w:firstColumn="1" w:lastColumn="1" w:noHBand="0" w:noVBand="0"/>
      </w:tblPr>
      <w:tblGrid>
        <w:gridCol w:w="5920"/>
        <w:gridCol w:w="3260"/>
      </w:tblGrid>
      <w:tr w:rsidR="002C543E" w:rsidRPr="002C543E" w14:paraId="4F5D3E39" w14:textId="77777777" w:rsidTr="00855176">
        <w:tc>
          <w:tcPr>
            <w:tcW w:w="5920" w:type="dxa"/>
            <w:vMerge w:val="restart"/>
            <w:shd w:val="clear" w:color="auto" w:fill="auto"/>
          </w:tcPr>
          <w:p w14:paraId="7E94DBEB" w14:textId="77777777" w:rsidR="002C543E" w:rsidRPr="002C543E" w:rsidRDefault="002C543E" w:rsidP="002C543E">
            <w:pPr>
              <w:tabs>
                <w:tab w:val="center" w:pos="2923"/>
              </w:tabs>
              <w:rPr>
                <w:rFonts w:ascii="Frutiger 45 Light" w:eastAsia="Times New Roman" w:hAnsi="Frutiger 45 Light"/>
                <w:szCs w:val="20"/>
                <w:lang w:eastAsia="en-GB"/>
              </w:rPr>
            </w:pPr>
            <w:r w:rsidRPr="002C543E">
              <w:rPr>
                <w:rFonts w:ascii="Arial" w:eastAsia="Times New Roman" w:hAnsi="Arial" w:cs="Arial"/>
                <w:noProof/>
                <w:sz w:val="44"/>
                <w:szCs w:val="44"/>
                <w:lang w:eastAsia="en-GB"/>
              </w:rPr>
              <w:lastRenderedPageBreak/>
              <w:drawing>
                <wp:inline distT="0" distB="0" distL="0" distR="0" wp14:anchorId="1465766B" wp14:editId="137CB5C6">
                  <wp:extent cx="1428750" cy="847725"/>
                  <wp:effectExtent l="0" t="0" r="0" b="9525"/>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FC5B92A" w14:textId="77777777" w:rsidR="002C543E" w:rsidRPr="002C543E" w:rsidRDefault="002C543E" w:rsidP="002C543E">
            <w:pPr>
              <w:tabs>
                <w:tab w:val="center" w:pos="4153"/>
                <w:tab w:val="right" w:pos="8306"/>
              </w:tabs>
              <w:rPr>
                <w:rFonts w:ascii="Arial" w:eastAsia="Times New Roman" w:hAnsi="Arial" w:cs="Arial"/>
                <w:b/>
                <w:lang w:eastAsia="en-GB"/>
              </w:rPr>
            </w:pPr>
            <w:r w:rsidRPr="002C543E">
              <w:rPr>
                <w:rFonts w:ascii="Arial" w:eastAsia="Times New Roman" w:hAnsi="Arial" w:cs="Arial"/>
                <w:b/>
                <w:lang w:eastAsia="en-GB"/>
              </w:rPr>
              <w:t>LGA Leadership Board</w:t>
            </w:r>
          </w:p>
        </w:tc>
      </w:tr>
      <w:tr w:rsidR="002C543E" w:rsidRPr="002C543E" w14:paraId="7519FAA8" w14:textId="77777777" w:rsidTr="00855176">
        <w:trPr>
          <w:trHeight w:val="450"/>
        </w:trPr>
        <w:tc>
          <w:tcPr>
            <w:tcW w:w="5920" w:type="dxa"/>
            <w:vMerge/>
            <w:shd w:val="clear" w:color="auto" w:fill="auto"/>
          </w:tcPr>
          <w:p w14:paraId="4728F2DD" w14:textId="77777777" w:rsidR="002C543E" w:rsidRPr="002C543E" w:rsidRDefault="002C543E" w:rsidP="002C543E">
            <w:pPr>
              <w:tabs>
                <w:tab w:val="center" w:pos="4153"/>
                <w:tab w:val="right" w:pos="8306"/>
              </w:tabs>
              <w:rPr>
                <w:rFonts w:ascii="Frutiger 45 Light" w:eastAsia="Times New Roman" w:hAnsi="Frutiger 45 Light"/>
                <w:szCs w:val="20"/>
                <w:lang w:eastAsia="en-GB"/>
              </w:rPr>
            </w:pPr>
          </w:p>
        </w:tc>
        <w:tc>
          <w:tcPr>
            <w:tcW w:w="3260" w:type="dxa"/>
            <w:shd w:val="clear" w:color="auto" w:fill="auto"/>
            <w:vAlign w:val="center"/>
          </w:tcPr>
          <w:p w14:paraId="08F9E02E" w14:textId="08EF40EB" w:rsidR="002C543E" w:rsidRPr="002C543E" w:rsidRDefault="002C543E" w:rsidP="002C543E">
            <w:pPr>
              <w:tabs>
                <w:tab w:val="center" w:pos="4153"/>
                <w:tab w:val="right" w:pos="8306"/>
              </w:tabs>
              <w:spacing w:before="60"/>
              <w:rPr>
                <w:rFonts w:ascii="Arial" w:eastAsia="Times New Roman" w:hAnsi="Arial" w:cs="Arial"/>
                <w:lang w:eastAsia="en-GB"/>
              </w:rPr>
            </w:pPr>
            <w:r>
              <w:rPr>
                <w:rFonts w:ascii="Arial" w:eastAsia="Times New Roman" w:hAnsi="Arial" w:cs="Arial"/>
                <w:lang w:eastAsia="en-GB"/>
              </w:rPr>
              <w:t>16 July 2014</w:t>
            </w:r>
          </w:p>
        </w:tc>
      </w:tr>
      <w:tr w:rsidR="002C543E" w:rsidRPr="002C543E" w14:paraId="25FDCB1A" w14:textId="77777777" w:rsidTr="00855176">
        <w:trPr>
          <w:trHeight w:val="708"/>
        </w:trPr>
        <w:tc>
          <w:tcPr>
            <w:tcW w:w="5920" w:type="dxa"/>
            <w:vMerge/>
            <w:shd w:val="clear" w:color="auto" w:fill="auto"/>
          </w:tcPr>
          <w:p w14:paraId="00B1F6D9" w14:textId="77777777" w:rsidR="002C543E" w:rsidRPr="002C543E" w:rsidRDefault="002C543E" w:rsidP="002C543E">
            <w:pPr>
              <w:tabs>
                <w:tab w:val="center" w:pos="4153"/>
                <w:tab w:val="right" w:pos="8306"/>
              </w:tabs>
              <w:rPr>
                <w:rFonts w:ascii="Frutiger 45 Light" w:eastAsia="Times New Roman" w:hAnsi="Frutiger 45 Light"/>
                <w:szCs w:val="20"/>
                <w:lang w:eastAsia="en-GB"/>
              </w:rPr>
            </w:pPr>
          </w:p>
        </w:tc>
        <w:tc>
          <w:tcPr>
            <w:tcW w:w="3260" w:type="dxa"/>
            <w:shd w:val="clear" w:color="auto" w:fill="auto"/>
            <w:vAlign w:val="center"/>
          </w:tcPr>
          <w:p w14:paraId="46578107" w14:textId="77777777" w:rsidR="002C543E" w:rsidRPr="002C543E" w:rsidRDefault="002C543E" w:rsidP="002C543E">
            <w:pPr>
              <w:tabs>
                <w:tab w:val="center" w:pos="4153"/>
                <w:tab w:val="right" w:pos="8306"/>
              </w:tabs>
              <w:spacing w:before="60"/>
              <w:rPr>
                <w:rFonts w:ascii="Arial" w:eastAsia="Times New Roman" w:hAnsi="Arial" w:cs="Arial"/>
                <w:b/>
                <w:lang w:eastAsia="en-GB"/>
              </w:rPr>
            </w:pPr>
          </w:p>
        </w:tc>
      </w:tr>
    </w:tbl>
    <w:p w14:paraId="40DC0721" w14:textId="77777777" w:rsidR="00D846A0" w:rsidRDefault="00D846A0" w:rsidP="00D846A0">
      <w:pPr>
        <w:pStyle w:val="NoSpacing"/>
        <w:rPr>
          <w:rFonts w:ascii="Arial" w:hAnsi="Arial" w:cs="Arial"/>
        </w:rPr>
      </w:pPr>
    </w:p>
    <w:p w14:paraId="40DC0722" w14:textId="77777777" w:rsidR="00D846A0" w:rsidRDefault="00D846A0" w:rsidP="00D846A0">
      <w:pPr>
        <w:pStyle w:val="NoSpacing"/>
        <w:rPr>
          <w:rFonts w:ascii="Arial" w:hAnsi="Arial" w:cs="Arial"/>
        </w:rPr>
      </w:pPr>
    </w:p>
    <w:p w14:paraId="40DC0723" w14:textId="77777777" w:rsidR="00D846A0" w:rsidRPr="002C543E" w:rsidRDefault="00D846A0" w:rsidP="00D846A0">
      <w:pPr>
        <w:pStyle w:val="NoSpacing"/>
        <w:rPr>
          <w:rFonts w:ascii="Arial" w:hAnsi="Arial" w:cs="Arial"/>
          <w:b/>
          <w:sz w:val="28"/>
          <w:szCs w:val="28"/>
        </w:rPr>
      </w:pPr>
      <w:r w:rsidRPr="002C543E">
        <w:rPr>
          <w:rFonts w:ascii="Arial" w:hAnsi="Arial" w:cs="Arial"/>
          <w:b/>
          <w:sz w:val="28"/>
          <w:szCs w:val="28"/>
        </w:rPr>
        <w:t>Communications – quarterly report – April to June 2014</w:t>
      </w:r>
    </w:p>
    <w:p w14:paraId="40DC0724" w14:textId="77777777" w:rsidR="00D846A0" w:rsidRPr="002C543E" w:rsidRDefault="00D846A0" w:rsidP="00D846A0">
      <w:pPr>
        <w:pStyle w:val="NoSpacing"/>
        <w:rPr>
          <w:rFonts w:ascii="Arial" w:hAnsi="Arial" w:cs="Arial"/>
          <w:b/>
          <w:sz w:val="28"/>
          <w:szCs w:val="28"/>
        </w:rPr>
      </w:pPr>
    </w:p>
    <w:p w14:paraId="40DC0725" w14:textId="77777777" w:rsidR="00D846A0" w:rsidRDefault="00D846A0" w:rsidP="00D846A0">
      <w:pPr>
        <w:pStyle w:val="NoSpacing"/>
        <w:rPr>
          <w:rFonts w:ascii="Arial" w:hAnsi="Arial" w:cs="Arial"/>
          <w:b/>
        </w:rPr>
      </w:pPr>
      <w:r>
        <w:rPr>
          <w:rFonts w:ascii="Arial" w:hAnsi="Arial" w:cs="Arial"/>
          <w:b/>
        </w:rPr>
        <w:t>Background</w:t>
      </w:r>
    </w:p>
    <w:p w14:paraId="40DC0726" w14:textId="77777777" w:rsidR="00D846A0" w:rsidRDefault="00D846A0" w:rsidP="00D846A0">
      <w:pPr>
        <w:pStyle w:val="NoSpacing"/>
        <w:rPr>
          <w:rFonts w:ascii="Arial" w:hAnsi="Arial" w:cs="Arial"/>
          <w:b/>
        </w:rPr>
      </w:pPr>
    </w:p>
    <w:p w14:paraId="40DC0727" w14:textId="77777777" w:rsidR="00D846A0" w:rsidRDefault="00D846A0" w:rsidP="0086540D">
      <w:pPr>
        <w:pStyle w:val="NoSpacing"/>
        <w:numPr>
          <w:ilvl w:val="0"/>
          <w:numId w:val="7"/>
        </w:numPr>
        <w:rPr>
          <w:rFonts w:ascii="Arial" w:hAnsi="Arial" w:cs="Arial"/>
        </w:rPr>
      </w:pPr>
      <w:r>
        <w:rPr>
          <w:rFonts w:ascii="Arial" w:hAnsi="Arial" w:cs="Arial"/>
        </w:rPr>
        <w:t xml:space="preserve">Last April, we presented and published our </w:t>
      </w:r>
      <w:r w:rsidR="00F35C63">
        <w:rPr>
          <w:rFonts w:ascii="Arial" w:hAnsi="Arial" w:cs="Arial"/>
        </w:rPr>
        <w:t xml:space="preserve">three year </w:t>
      </w:r>
      <w:r>
        <w:rPr>
          <w:rFonts w:ascii="Arial" w:hAnsi="Arial" w:cs="Arial"/>
        </w:rPr>
        <w:t>Communications Strategy</w:t>
      </w:r>
      <w:r w:rsidR="00F35C63">
        <w:rPr>
          <w:rFonts w:ascii="Arial" w:hAnsi="Arial" w:cs="Arial"/>
        </w:rPr>
        <w:t xml:space="preserve">, following approval by </w:t>
      </w:r>
      <w:r>
        <w:rPr>
          <w:rFonts w:ascii="Arial" w:hAnsi="Arial" w:cs="Arial"/>
        </w:rPr>
        <w:t>Leadership Board. It outlined our key targets, which included a target to deliver high quality communications activity which is 75 per cent proactive, with a clear focus to national media.</w:t>
      </w:r>
    </w:p>
    <w:p w14:paraId="40DC0728" w14:textId="77777777" w:rsidR="00D846A0" w:rsidRDefault="00D846A0" w:rsidP="0086540D">
      <w:pPr>
        <w:pStyle w:val="NoSpacing"/>
        <w:ind w:left="720"/>
        <w:rPr>
          <w:rFonts w:ascii="Arial" w:hAnsi="Arial" w:cs="Arial"/>
        </w:rPr>
      </w:pPr>
    </w:p>
    <w:p w14:paraId="40DC0729" w14:textId="77777777" w:rsidR="00D846A0" w:rsidRDefault="00D846A0" w:rsidP="0086540D">
      <w:pPr>
        <w:pStyle w:val="NoSpacing"/>
        <w:numPr>
          <w:ilvl w:val="0"/>
          <w:numId w:val="7"/>
        </w:numPr>
        <w:rPr>
          <w:rFonts w:ascii="Arial" w:hAnsi="Arial" w:cs="Arial"/>
        </w:rPr>
      </w:pPr>
      <w:r>
        <w:rPr>
          <w:rFonts w:ascii="Arial" w:hAnsi="Arial" w:cs="Arial"/>
        </w:rPr>
        <w:t>Our aim is to position ourselves as the ‘come to’ organisation on all matters which affect local government</w:t>
      </w:r>
      <w:r w:rsidR="00F35C63">
        <w:rPr>
          <w:rFonts w:ascii="Arial" w:hAnsi="Arial" w:cs="Arial"/>
        </w:rPr>
        <w:t xml:space="preserve"> through high quality, proactive communications</w:t>
      </w:r>
      <w:r>
        <w:rPr>
          <w:rFonts w:ascii="Arial" w:hAnsi="Arial" w:cs="Arial"/>
        </w:rPr>
        <w:t>. When it is necessary to react to events, stories or announcements, we will ensure the LGA provides a strong voice for local government, defending the sector’s position.</w:t>
      </w:r>
    </w:p>
    <w:p w14:paraId="40DC072A" w14:textId="77777777" w:rsidR="00D846A0" w:rsidRDefault="00D846A0" w:rsidP="00D846A0">
      <w:pPr>
        <w:pStyle w:val="NoSpacing"/>
        <w:rPr>
          <w:rFonts w:ascii="Arial" w:hAnsi="Arial" w:cs="Arial"/>
        </w:rPr>
      </w:pPr>
    </w:p>
    <w:p w14:paraId="40DC072B" w14:textId="77777777" w:rsidR="00D846A0" w:rsidRDefault="00D846A0" w:rsidP="00D846A0">
      <w:pPr>
        <w:pStyle w:val="NoSpacing"/>
        <w:rPr>
          <w:rFonts w:ascii="Arial" w:hAnsi="Arial" w:cs="Arial"/>
          <w:b/>
        </w:rPr>
      </w:pPr>
      <w:r>
        <w:rPr>
          <w:rFonts w:ascii="Arial" w:hAnsi="Arial" w:cs="Arial"/>
          <w:b/>
        </w:rPr>
        <w:t>Media activity – April to June 2014</w:t>
      </w:r>
    </w:p>
    <w:p w14:paraId="40DC072C" w14:textId="77777777" w:rsidR="00D846A0" w:rsidRDefault="00D846A0" w:rsidP="00D846A0">
      <w:pPr>
        <w:pStyle w:val="NoSpacing"/>
        <w:rPr>
          <w:rFonts w:ascii="Arial" w:hAnsi="Arial" w:cs="Arial"/>
          <w:b/>
        </w:rPr>
      </w:pPr>
    </w:p>
    <w:p w14:paraId="40DC072D" w14:textId="77777777" w:rsidR="005E04D1" w:rsidRDefault="00F35C63" w:rsidP="0086540D">
      <w:pPr>
        <w:pStyle w:val="NoSpacing"/>
        <w:numPr>
          <w:ilvl w:val="0"/>
          <w:numId w:val="7"/>
        </w:numPr>
        <w:rPr>
          <w:rFonts w:ascii="Arial" w:hAnsi="Arial" w:cs="Arial"/>
        </w:rPr>
      </w:pPr>
      <w:r>
        <w:rPr>
          <w:rFonts w:ascii="Arial" w:hAnsi="Arial" w:cs="Arial"/>
        </w:rPr>
        <w:t xml:space="preserve">Our strategy has been to focus more on national media coverage to ensure maximum coverage for the key issues for local government.  </w:t>
      </w:r>
      <w:r w:rsidR="005E04D1">
        <w:rPr>
          <w:rFonts w:ascii="Arial" w:hAnsi="Arial" w:cs="Arial"/>
        </w:rPr>
        <w:t>The following sets out all media coverage for the period April to June 2014.</w:t>
      </w:r>
    </w:p>
    <w:p w14:paraId="40DC072E" w14:textId="77777777" w:rsidR="005E04D1" w:rsidRDefault="005E04D1" w:rsidP="005E04D1">
      <w:pPr>
        <w:pStyle w:val="NoSpacing"/>
        <w:rPr>
          <w:rFonts w:ascii="Arial" w:hAnsi="Arial" w:cs="Arial"/>
        </w:rPr>
      </w:pPr>
    </w:p>
    <w:tbl>
      <w:tblPr>
        <w:tblStyle w:val="TableGrid"/>
        <w:tblW w:w="0" w:type="auto"/>
        <w:tblLook w:val="04A0" w:firstRow="1" w:lastRow="0" w:firstColumn="1" w:lastColumn="0" w:noHBand="0" w:noVBand="1"/>
      </w:tblPr>
      <w:tblGrid>
        <w:gridCol w:w="2069"/>
        <w:gridCol w:w="2503"/>
        <w:gridCol w:w="2451"/>
        <w:gridCol w:w="2219"/>
      </w:tblGrid>
      <w:tr w:rsidR="00F35C63" w:rsidRPr="005E04D1" w14:paraId="40DC0733" w14:textId="77777777" w:rsidTr="00F35C63">
        <w:tc>
          <w:tcPr>
            <w:tcW w:w="2069" w:type="dxa"/>
          </w:tcPr>
          <w:p w14:paraId="40DC072F" w14:textId="77777777" w:rsidR="00F35C63" w:rsidRPr="005E04D1" w:rsidRDefault="00F35C63" w:rsidP="005E04D1">
            <w:pPr>
              <w:pStyle w:val="NoSpacing"/>
              <w:rPr>
                <w:rFonts w:ascii="Arial" w:hAnsi="Arial" w:cs="Arial"/>
                <w:b/>
              </w:rPr>
            </w:pPr>
          </w:p>
        </w:tc>
        <w:tc>
          <w:tcPr>
            <w:tcW w:w="2503" w:type="dxa"/>
          </w:tcPr>
          <w:p w14:paraId="40DC0730" w14:textId="77777777" w:rsidR="00F35C63" w:rsidRPr="005E04D1" w:rsidRDefault="00F35C63" w:rsidP="00F35C63">
            <w:pPr>
              <w:pStyle w:val="NoSpacing"/>
              <w:jc w:val="center"/>
              <w:rPr>
                <w:rFonts w:ascii="Arial" w:hAnsi="Arial" w:cs="Arial"/>
                <w:b/>
              </w:rPr>
            </w:pPr>
            <w:r>
              <w:rPr>
                <w:rFonts w:ascii="Arial" w:hAnsi="Arial" w:cs="Arial"/>
                <w:b/>
              </w:rPr>
              <w:t>April – June 2014</w:t>
            </w:r>
          </w:p>
        </w:tc>
        <w:tc>
          <w:tcPr>
            <w:tcW w:w="2451" w:type="dxa"/>
          </w:tcPr>
          <w:p w14:paraId="40DC0731" w14:textId="77777777" w:rsidR="00F35C63" w:rsidRPr="005E04D1" w:rsidRDefault="00F35C63" w:rsidP="00F35C63">
            <w:pPr>
              <w:pStyle w:val="NoSpacing"/>
              <w:jc w:val="center"/>
              <w:rPr>
                <w:rFonts w:ascii="Arial" w:hAnsi="Arial" w:cs="Arial"/>
                <w:b/>
              </w:rPr>
            </w:pPr>
            <w:r>
              <w:rPr>
                <w:rFonts w:ascii="Arial" w:hAnsi="Arial" w:cs="Arial"/>
                <w:b/>
              </w:rPr>
              <w:t>April – June 2013</w:t>
            </w:r>
          </w:p>
        </w:tc>
        <w:tc>
          <w:tcPr>
            <w:tcW w:w="2219" w:type="dxa"/>
          </w:tcPr>
          <w:p w14:paraId="40DC0732" w14:textId="77777777" w:rsidR="00F35C63" w:rsidRDefault="00F35C63" w:rsidP="00F35C63">
            <w:pPr>
              <w:pStyle w:val="NoSpacing"/>
              <w:jc w:val="center"/>
              <w:rPr>
                <w:rFonts w:ascii="Arial" w:hAnsi="Arial" w:cs="Arial"/>
                <w:b/>
              </w:rPr>
            </w:pPr>
            <w:r>
              <w:rPr>
                <w:rFonts w:ascii="Arial" w:hAnsi="Arial" w:cs="Arial"/>
                <w:b/>
              </w:rPr>
              <w:t>April – June 2012</w:t>
            </w:r>
          </w:p>
        </w:tc>
      </w:tr>
      <w:tr w:rsidR="00F35C63" w14:paraId="40DC0738" w14:textId="77777777" w:rsidTr="00F35C63">
        <w:tc>
          <w:tcPr>
            <w:tcW w:w="2069" w:type="dxa"/>
          </w:tcPr>
          <w:p w14:paraId="40DC0734" w14:textId="77777777" w:rsidR="00F35C63" w:rsidRPr="005E04D1" w:rsidRDefault="007C3D77" w:rsidP="007C3D77">
            <w:pPr>
              <w:pStyle w:val="NoSpacing"/>
              <w:jc w:val="center"/>
              <w:rPr>
                <w:rFonts w:ascii="Arial" w:hAnsi="Arial" w:cs="Arial"/>
              </w:rPr>
            </w:pPr>
            <w:r>
              <w:rPr>
                <w:rFonts w:ascii="Arial" w:hAnsi="Arial" w:cs="Arial"/>
                <w:b/>
              </w:rPr>
              <w:t>Coverage</w:t>
            </w:r>
            <w:r w:rsidR="00F35C63">
              <w:rPr>
                <w:rFonts w:ascii="Arial" w:hAnsi="Arial" w:cs="Arial"/>
                <w:b/>
              </w:rPr>
              <w:t xml:space="preserve"> </w:t>
            </w:r>
            <w:r w:rsidR="00F35C63">
              <w:rPr>
                <w:rFonts w:ascii="Arial" w:hAnsi="Arial" w:cs="Arial"/>
              </w:rPr>
              <w:t>(all)</w:t>
            </w:r>
          </w:p>
        </w:tc>
        <w:tc>
          <w:tcPr>
            <w:tcW w:w="2503" w:type="dxa"/>
          </w:tcPr>
          <w:p w14:paraId="40DC0735" w14:textId="77777777" w:rsidR="00F35C63" w:rsidRDefault="00F35C63" w:rsidP="008550FD">
            <w:pPr>
              <w:pStyle w:val="NoSpacing"/>
              <w:jc w:val="center"/>
              <w:rPr>
                <w:rFonts w:ascii="Arial" w:hAnsi="Arial" w:cs="Arial"/>
              </w:rPr>
            </w:pPr>
            <w:r>
              <w:rPr>
                <w:rFonts w:ascii="Arial" w:hAnsi="Arial" w:cs="Arial"/>
              </w:rPr>
              <w:t>4299</w:t>
            </w:r>
          </w:p>
        </w:tc>
        <w:tc>
          <w:tcPr>
            <w:tcW w:w="2451" w:type="dxa"/>
          </w:tcPr>
          <w:p w14:paraId="40DC0736" w14:textId="77777777" w:rsidR="00F35C63" w:rsidRDefault="00F35C63" w:rsidP="005E04D1">
            <w:pPr>
              <w:pStyle w:val="NoSpacing"/>
              <w:jc w:val="center"/>
              <w:rPr>
                <w:rFonts w:ascii="Arial" w:hAnsi="Arial" w:cs="Arial"/>
              </w:rPr>
            </w:pPr>
            <w:r>
              <w:rPr>
                <w:rFonts w:ascii="Arial" w:hAnsi="Arial" w:cs="Arial"/>
              </w:rPr>
              <w:t>4729</w:t>
            </w:r>
          </w:p>
        </w:tc>
        <w:tc>
          <w:tcPr>
            <w:tcW w:w="2219" w:type="dxa"/>
          </w:tcPr>
          <w:p w14:paraId="40DC0737" w14:textId="77777777" w:rsidR="00F35C63" w:rsidRDefault="00F35C63" w:rsidP="005E04D1">
            <w:pPr>
              <w:pStyle w:val="NoSpacing"/>
              <w:jc w:val="center"/>
              <w:rPr>
                <w:rFonts w:ascii="Arial" w:hAnsi="Arial" w:cs="Arial"/>
              </w:rPr>
            </w:pPr>
            <w:r>
              <w:rPr>
                <w:rFonts w:ascii="Arial" w:hAnsi="Arial" w:cs="Arial"/>
              </w:rPr>
              <w:t>5179</w:t>
            </w:r>
          </w:p>
        </w:tc>
      </w:tr>
      <w:tr w:rsidR="00F35C63" w14:paraId="40DC073D" w14:textId="77777777" w:rsidTr="00F35C63">
        <w:tc>
          <w:tcPr>
            <w:tcW w:w="2069" w:type="dxa"/>
          </w:tcPr>
          <w:p w14:paraId="40DC0739" w14:textId="77777777" w:rsidR="00F35C63" w:rsidRPr="005E04D1" w:rsidRDefault="00F35C63" w:rsidP="005E04D1">
            <w:pPr>
              <w:pStyle w:val="NoSpacing"/>
              <w:jc w:val="center"/>
              <w:rPr>
                <w:rFonts w:ascii="Arial" w:hAnsi="Arial" w:cs="Arial"/>
              </w:rPr>
            </w:pPr>
            <w:r>
              <w:rPr>
                <w:rFonts w:ascii="Arial" w:hAnsi="Arial" w:cs="Arial"/>
                <w:b/>
              </w:rPr>
              <w:t xml:space="preserve">National </w:t>
            </w:r>
            <w:r>
              <w:rPr>
                <w:rFonts w:ascii="Arial" w:hAnsi="Arial" w:cs="Arial"/>
              </w:rPr>
              <w:t>(Print, online, broadcast)</w:t>
            </w:r>
          </w:p>
        </w:tc>
        <w:tc>
          <w:tcPr>
            <w:tcW w:w="2503" w:type="dxa"/>
          </w:tcPr>
          <w:p w14:paraId="40DC073A" w14:textId="77777777" w:rsidR="00F35C63" w:rsidRDefault="00F35C63" w:rsidP="005E04D1">
            <w:pPr>
              <w:pStyle w:val="NoSpacing"/>
              <w:jc w:val="center"/>
              <w:rPr>
                <w:rFonts w:ascii="Arial" w:hAnsi="Arial" w:cs="Arial"/>
              </w:rPr>
            </w:pPr>
            <w:r>
              <w:rPr>
                <w:rFonts w:ascii="Arial" w:hAnsi="Arial" w:cs="Arial"/>
              </w:rPr>
              <w:t>295</w:t>
            </w:r>
          </w:p>
        </w:tc>
        <w:tc>
          <w:tcPr>
            <w:tcW w:w="2451" w:type="dxa"/>
          </w:tcPr>
          <w:p w14:paraId="40DC073B" w14:textId="77777777" w:rsidR="00F35C63" w:rsidRDefault="00F35C63" w:rsidP="005E04D1">
            <w:pPr>
              <w:pStyle w:val="NoSpacing"/>
              <w:jc w:val="center"/>
              <w:rPr>
                <w:rFonts w:ascii="Arial" w:hAnsi="Arial" w:cs="Arial"/>
              </w:rPr>
            </w:pPr>
            <w:r>
              <w:rPr>
                <w:rFonts w:ascii="Arial" w:hAnsi="Arial" w:cs="Arial"/>
              </w:rPr>
              <w:t>306</w:t>
            </w:r>
          </w:p>
        </w:tc>
        <w:tc>
          <w:tcPr>
            <w:tcW w:w="2219" w:type="dxa"/>
          </w:tcPr>
          <w:p w14:paraId="40DC073C" w14:textId="77777777" w:rsidR="00F35C63" w:rsidRDefault="00F35C63" w:rsidP="005E04D1">
            <w:pPr>
              <w:pStyle w:val="NoSpacing"/>
              <w:jc w:val="center"/>
              <w:rPr>
                <w:rFonts w:ascii="Arial" w:hAnsi="Arial" w:cs="Arial"/>
              </w:rPr>
            </w:pPr>
            <w:r>
              <w:rPr>
                <w:rFonts w:ascii="Arial" w:hAnsi="Arial" w:cs="Arial"/>
              </w:rPr>
              <w:t>105</w:t>
            </w:r>
          </w:p>
        </w:tc>
      </w:tr>
    </w:tbl>
    <w:p w14:paraId="40DC073E" w14:textId="77777777" w:rsidR="005E04D1" w:rsidRDefault="005E04D1" w:rsidP="005E04D1">
      <w:pPr>
        <w:pStyle w:val="NoSpacing"/>
        <w:rPr>
          <w:rFonts w:ascii="Arial" w:hAnsi="Arial" w:cs="Arial"/>
        </w:rPr>
      </w:pPr>
    </w:p>
    <w:p w14:paraId="40DC073F" w14:textId="77777777" w:rsidR="00681F1B" w:rsidRPr="0086540D" w:rsidRDefault="00F15EE2" w:rsidP="0086540D">
      <w:pPr>
        <w:pStyle w:val="NoSpacing"/>
        <w:numPr>
          <w:ilvl w:val="0"/>
          <w:numId w:val="7"/>
        </w:numPr>
        <w:rPr>
          <w:rFonts w:ascii="Arial" w:hAnsi="Arial" w:cs="Arial"/>
        </w:rPr>
      </w:pPr>
      <w:r w:rsidRPr="0086540D">
        <w:rPr>
          <w:rFonts w:ascii="Arial" w:hAnsi="Arial" w:cs="Arial"/>
        </w:rPr>
        <w:t xml:space="preserve">This quarter has seen a small reduction in our overall and national media </w:t>
      </w:r>
      <w:r w:rsidR="007C3D77" w:rsidRPr="0086540D">
        <w:rPr>
          <w:rFonts w:ascii="Arial" w:hAnsi="Arial" w:cs="Arial"/>
        </w:rPr>
        <w:t xml:space="preserve">coverage </w:t>
      </w:r>
      <w:r w:rsidR="007537C2" w:rsidRPr="0086540D">
        <w:rPr>
          <w:rFonts w:ascii="Arial" w:hAnsi="Arial" w:cs="Arial"/>
        </w:rPr>
        <w:t>year-on-year</w:t>
      </w:r>
      <w:r w:rsidRPr="0086540D">
        <w:rPr>
          <w:rFonts w:ascii="Arial" w:hAnsi="Arial" w:cs="Arial"/>
        </w:rPr>
        <w:t xml:space="preserve">. This </w:t>
      </w:r>
      <w:r w:rsidR="007537C2" w:rsidRPr="0086540D">
        <w:rPr>
          <w:rFonts w:ascii="Arial" w:hAnsi="Arial" w:cs="Arial"/>
        </w:rPr>
        <w:t xml:space="preserve">has been </w:t>
      </w:r>
      <w:r w:rsidR="007C3D77" w:rsidRPr="0086540D">
        <w:rPr>
          <w:rFonts w:ascii="Arial" w:hAnsi="Arial" w:cs="Arial"/>
        </w:rPr>
        <w:t xml:space="preserve">in part due to the extensive coverage we received around last year’s Spending Round (the </w:t>
      </w:r>
      <w:r w:rsidR="00B837D7" w:rsidRPr="0086540D">
        <w:rPr>
          <w:rFonts w:ascii="Arial" w:hAnsi="Arial" w:cs="Arial"/>
        </w:rPr>
        <w:t xml:space="preserve">national </w:t>
      </w:r>
      <w:r w:rsidR="007C3D77" w:rsidRPr="0086540D">
        <w:rPr>
          <w:rFonts w:ascii="Arial" w:hAnsi="Arial" w:cs="Arial"/>
        </w:rPr>
        <w:t xml:space="preserve">coverage </w:t>
      </w:r>
      <w:r w:rsidRPr="0086540D">
        <w:rPr>
          <w:rFonts w:ascii="Arial" w:hAnsi="Arial" w:cs="Arial"/>
        </w:rPr>
        <w:t>figure</w:t>
      </w:r>
      <w:r w:rsidR="007C3D77" w:rsidRPr="0086540D">
        <w:rPr>
          <w:rFonts w:ascii="Arial" w:hAnsi="Arial" w:cs="Arial"/>
        </w:rPr>
        <w:t xml:space="preserve"> in 2013</w:t>
      </w:r>
      <w:r w:rsidRPr="0086540D">
        <w:rPr>
          <w:rFonts w:ascii="Arial" w:hAnsi="Arial" w:cs="Arial"/>
        </w:rPr>
        <w:t xml:space="preserve"> </w:t>
      </w:r>
      <w:r w:rsidR="00B837D7" w:rsidRPr="0086540D">
        <w:rPr>
          <w:rFonts w:ascii="Arial" w:hAnsi="Arial" w:cs="Arial"/>
        </w:rPr>
        <w:t xml:space="preserve">(306) </w:t>
      </w:r>
      <w:r w:rsidR="007C3D77" w:rsidRPr="0086540D">
        <w:rPr>
          <w:rFonts w:ascii="Arial" w:hAnsi="Arial" w:cs="Arial"/>
        </w:rPr>
        <w:t xml:space="preserve">included </w:t>
      </w:r>
      <w:r w:rsidRPr="0086540D">
        <w:rPr>
          <w:rFonts w:ascii="Arial" w:hAnsi="Arial" w:cs="Arial"/>
        </w:rPr>
        <w:t xml:space="preserve">86 </w:t>
      </w:r>
      <w:r w:rsidR="007C3D77" w:rsidRPr="0086540D">
        <w:rPr>
          <w:rFonts w:ascii="Arial" w:hAnsi="Arial" w:cs="Arial"/>
        </w:rPr>
        <w:t xml:space="preserve">pieces of media coverage </w:t>
      </w:r>
      <w:r w:rsidR="007537C2" w:rsidRPr="0086540D">
        <w:rPr>
          <w:rFonts w:ascii="Arial" w:hAnsi="Arial" w:cs="Arial"/>
        </w:rPr>
        <w:t>generated by</w:t>
      </w:r>
      <w:r w:rsidRPr="0086540D">
        <w:rPr>
          <w:rFonts w:ascii="Arial" w:hAnsi="Arial" w:cs="Arial"/>
        </w:rPr>
        <w:t xml:space="preserve"> our media work </w:t>
      </w:r>
      <w:r w:rsidR="007C3D77" w:rsidRPr="0086540D">
        <w:rPr>
          <w:rFonts w:ascii="Arial" w:hAnsi="Arial" w:cs="Arial"/>
        </w:rPr>
        <w:t>for the Spending Round.)</w:t>
      </w:r>
    </w:p>
    <w:p w14:paraId="40DC0740" w14:textId="77777777" w:rsidR="00681F1B" w:rsidRDefault="00681F1B" w:rsidP="00681F1B">
      <w:pPr>
        <w:pStyle w:val="NoSpacing"/>
        <w:rPr>
          <w:rFonts w:ascii="Arial" w:hAnsi="Arial" w:cs="Arial"/>
        </w:rPr>
      </w:pPr>
    </w:p>
    <w:p w14:paraId="40DC0741" w14:textId="77777777" w:rsidR="00681F1B" w:rsidRDefault="00681F1B" w:rsidP="005E04D1">
      <w:pPr>
        <w:pStyle w:val="NoSpacing"/>
        <w:rPr>
          <w:rFonts w:ascii="Arial" w:hAnsi="Arial" w:cs="Arial"/>
        </w:rPr>
      </w:pPr>
      <w:r>
        <w:rPr>
          <w:rFonts w:ascii="Arial" w:hAnsi="Arial" w:cs="Arial"/>
          <w:b/>
          <w:noProof/>
          <w:sz w:val="24"/>
          <w:szCs w:val="24"/>
          <w:u w:val="single"/>
          <w:lang w:eastAsia="en-GB"/>
        </w:rPr>
        <w:drawing>
          <wp:inline distT="0" distB="0" distL="0" distR="0" wp14:anchorId="40DC07CE" wp14:editId="40DC07CF">
            <wp:extent cx="5486400" cy="1847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DC0742" w14:textId="77777777" w:rsidR="00B837D7" w:rsidRDefault="00B837D7" w:rsidP="005E04D1">
      <w:pPr>
        <w:pStyle w:val="NoSpacing"/>
        <w:rPr>
          <w:rFonts w:ascii="Arial" w:hAnsi="Arial" w:cs="Arial"/>
        </w:rPr>
      </w:pPr>
    </w:p>
    <w:p w14:paraId="40DC0743" w14:textId="77777777" w:rsidR="00681F1B" w:rsidRDefault="00681F1B" w:rsidP="005E04D1">
      <w:pPr>
        <w:pStyle w:val="NoSpacing"/>
        <w:rPr>
          <w:rFonts w:ascii="Arial" w:hAnsi="Arial" w:cs="Arial"/>
        </w:rPr>
      </w:pPr>
      <w:r>
        <w:rPr>
          <w:rFonts w:ascii="Arial" w:hAnsi="Arial" w:cs="Arial"/>
          <w:b/>
          <w:noProof/>
          <w:sz w:val="24"/>
          <w:szCs w:val="24"/>
          <w:u w:val="single"/>
          <w:lang w:eastAsia="en-GB"/>
        </w:rPr>
        <w:lastRenderedPageBreak/>
        <w:drawing>
          <wp:inline distT="0" distB="0" distL="0" distR="0" wp14:anchorId="40DC07D0" wp14:editId="40DC07D1">
            <wp:extent cx="5486400" cy="1981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DC0744" w14:textId="77777777" w:rsidR="00681F1B" w:rsidRDefault="00681F1B" w:rsidP="005E04D1">
      <w:pPr>
        <w:pStyle w:val="NoSpacing"/>
        <w:rPr>
          <w:rFonts w:ascii="Arial" w:hAnsi="Arial" w:cs="Arial"/>
        </w:rPr>
      </w:pPr>
    </w:p>
    <w:p w14:paraId="40DC0745" w14:textId="77777777" w:rsidR="00681F1B" w:rsidRDefault="00681F1B" w:rsidP="005E04D1">
      <w:pPr>
        <w:pStyle w:val="NoSpacing"/>
        <w:rPr>
          <w:rFonts w:ascii="Arial" w:hAnsi="Arial" w:cs="Arial"/>
        </w:rPr>
      </w:pPr>
    </w:p>
    <w:p w14:paraId="40DC0746" w14:textId="77777777" w:rsidR="00681F1B" w:rsidRDefault="00681F1B" w:rsidP="005E04D1">
      <w:pPr>
        <w:pStyle w:val="NoSpacing"/>
        <w:rPr>
          <w:rFonts w:ascii="Arial" w:hAnsi="Arial" w:cs="Arial"/>
        </w:rPr>
      </w:pPr>
      <w:r>
        <w:rPr>
          <w:rFonts w:ascii="Arial" w:hAnsi="Arial" w:cs="Arial"/>
          <w:noProof/>
          <w:sz w:val="24"/>
          <w:szCs w:val="24"/>
          <w:lang w:eastAsia="en-GB"/>
        </w:rPr>
        <w:drawing>
          <wp:inline distT="0" distB="0" distL="0" distR="0" wp14:anchorId="40DC07D2" wp14:editId="40DC07D3">
            <wp:extent cx="5705475" cy="23050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DC0747" w14:textId="77777777" w:rsidR="00B837D7" w:rsidRDefault="00B837D7" w:rsidP="00B837D7">
      <w:pPr>
        <w:pStyle w:val="NoSpacing"/>
        <w:rPr>
          <w:rFonts w:ascii="Arial" w:hAnsi="Arial" w:cs="Arial"/>
        </w:rPr>
      </w:pPr>
    </w:p>
    <w:p w14:paraId="40DC0748" w14:textId="77777777" w:rsidR="00681F1B" w:rsidRDefault="00227F50" w:rsidP="00B837D7">
      <w:pPr>
        <w:pStyle w:val="NoSpacing"/>
        <w:numPr>
          <w:ilvl w:val="0"/>
          <w:numId w:val="7"/>
        </w:numPr>
        <w:rPr>
          <w:rFonts w:ascii="Arial" w:hAnsi="Arial" w:cs="Arial"/>
        </w:rPr>
      </w:pPr>
      <w:r w:rsidRPr="00A53B5E">
        <w:rPr>
          <w:rFonts w:ascii="Arial" w:hAnsi="Arial" w:cs="Arial"/>
          <w:b/>
        </w:rPr>
        <w:t>85</w:t>
      </w:r>
      <w:r w:rsidR="00681F1B" w:rsidRPr="00A53B5E">
        <w:rPr>
          <w:rFonts w:ascii="Arial" w:hAnsi="Arial" w:cs="Arial"/>
          <w:b/>
        </w:rPr>
        <w:t xml:space="preserve"> per cent</w:t>
      </w:r>
      <w:r w:rsidR="00890FD2">
        <w:rPr>
          <w:rFonts w:ascii="Arial" w:hAnsi="Arial" w:cs="Arial"/>
        </w:rPr>
        <w:t xml:space="preserve"> of</w:t>
      </w:r>
      <w:r w:rsidR="007C3D77">
        <w:rPr>
          <w:rFonts w:ascii="Arial" w:hAnsi="Arial" w:cs="Arial"/>
        </w:rPr>
        <w:t xml:space="preserve"> media </w:t>
      </w:r>
      <w:r w:rsidR="00890FD2">
        <w:rPr>
          <w:rFonts w:ascii="Arial" w:hAnsi="Arial" w:cs="Arial"/>
        </w:rPr>
        <w:t>coverage this quarter was through pro-active work.</w:t>
      </w:r>
      <w:r>
        <w:rPr>
          <w:rFonts w:ascii="Arial" w:hAnsi="Arial" w:cs="Arial"/>
        </w:rPr>
        <w:t xml:space="preserve"> This </w:t>
      </w:r>
      <w:r w:rsidR="007C3D77">
        <w:rPr>
          <w:rFonts w:ascii="Arial" w:hAnsi="Arial" w:cs="Arial"/>
        </w:rPr>
        <w:t xml:space="preserve">is </w:t>
      </w:r>
      <w:r>
        <w:rPr>
          <w:rFonts w:ascii="Arial" w:hAnsi="Arial" w:cs="Arial"/>
        </w:rPr>
        <w:t xml:space="preserve">up from </w:t>
      </w:r>
      <w:r w:rsidRPr="00A53B5E">
        <w:rPr>
          <w:rFonts w:ascii="Arial" w:hAnsi="Arial" w:cs="Arial"/>
          <w:b/>
        </w:rPr>
        <w:t>80 per cent</w:t>
      </w:r>
      <w:r w:rsidR="00A53B5E">
        <w:rPr>
          <w:rFonts w:ascii="Arial" w:hAnsi="Arial" w:cs="Arial"/>
        </w:rPr>
        <w:t xml:space="preserve"> in the previous quarter (Jan</w:t>
      </w:r>
      <w:r w:rsidR="007C3D77">
        <w:rPr>
          <w:rFonts w:ascii="Arial" w:hAnsi="Arial" w:cs="Arial"/>
        </w:rPr>
        <w:t>uary</w:t>
      </w:r>
      <w:r>
        <w:rPr>
          <w:rFonts w:ascii="Arial" w:hAnsi="Arial" w:cs="Arial"/>
        </w:rPr>
        <w:t xml:space="preserve">–March 2014). This has been led by our </w:t>
      </w:r>
      <w:r w:rsidR="00B837D7">
        <w:rPr>
          <w:rFonts w:ascii="Arial" w:hAnsi="Arial" w:cs="Arial"/>
        </w:rPr>
        <w:t>work on the Better Care Fund,</w:t>
      </w:r>
      <w:r>
        <w:rPr>
          <w:rFonts w:ascii="Arial" w:hAnsi="Arial" w:cs="Arial"/>
        </w:rPr>
        <w:t xml:space="preserve"> parking, school places, school accountability and powers to tackle the spread of betting shops on our high streets.</w:t>
      </w:r>
    </w:p>
    <w:p w14:paraId="40DC0749" w14:textId="77777777" w:rsidR="00B837D7" w:rsidRDefault="00B837D7" w:rsidP="00B837D7">
      <w:pPr>
        <w:pStyle w:val="NoSpacing"/>
        <w:rPr>
          <w:rFonts w:ascii="Arial" w:hAnsi="Arial" w:cs="Arial"/>
        </w:rPr>
      </w:pPr>
    </w:p>
    <w:p w14:paraId="40DC074A" w14:textId="77777777" w:rsidR="00681F1B" w:rsidRPr="00B837D7" w:rsidRDefault="00B837D7" w:rsidP="00681F1B">
      <w:pPr>
        <w:pStyle w:val="NoSpacing"/>
        <w:numPr>
          <w:ilvl w:val="0"/>
          <w:numId w:val="7"/>
        </w:numPr>
        <w:rPr>
          <w:rFonts w:ascii="Arial" w:hAnsi="Arial" w:cs="Arial"/>
        </w:rPr>
      </w:pPr>
      <w:r>
        <w:rPr>
          <w:rFonts w:ascii="Arial" w:hAnsi="Arial" w:cs="Arial"/>
        </w:rPr>
        <w:t xml:space="preserve">As a result, </w:t>
      </w:r>
      <w:r w:rsidRPr="00713CC6">
        <w:rPr>
          <w:rFonts w:ascii="Arial" w:hAnsi="Arial" w:cs="Arial"/>
          <w:b/>
        </w:rPr>
        <w:t>79 per cent</w:t>
      </w:r>
      <w:r>
        <w:rPr>
          <w:rFonts w:ascii="Arial" w:hAnsi="Arial" w:cs="Arial"/>
        </w:rPr>
        <w:t xml:space="preserve"> of our coverage this quarter was positive. </w:t>
      </w:r>
    </w:p>
    <w:p w14:paraId="40DC074B" w14:textId="77777777" w:rsidR="00681F1B" w:rsidRDefault="00681F1B" w:rsidP="005E04D1">
      <w:pPr>
        <w:pStyle w:val="NoSpacing"/>
        <w:rPr>
          <w:rFonts w:ascii="Arial" w:hAnsi="Arial" w:cs="Arial"/>
        </w:rPr>
      </w:pPr>
    </w:p>
    <w:p w14:paraId="40DC074C" w14:textId="77777777" w:rsidR="00681F1B" w:rsidRDefault="00681F1B" w:rsidP="005E04D1">
      <w:pPr>
        <w:pStyle w:val="NoSpacing"/>
        <w:rPr>
          <w:rFonts w:ascii="Arial" w:hAnsi="Arial" w:cs="Arial"/>
        </w:rPr>
      </w:pPr>
      <w:r>
        <w:rPr>
          <w:rFonts w:ascii="Arial" w:hAnsi="Arial" w:cs="Arial"/>
          <w:noProof/>
          <w:sz w:val="28"/>
          <w:szCs w:val="28"/>
          <w:lang w:eastAsia="en-GB"/>
        </w:rPr>
        <w:drawing>
          <wp:inline distT="0" distB="0" distL="0" distR="0" wp14:anchorId="40DC07D4" wp14:editId="4FFC1393">
            <wp:extent cx="5705475" cy="2257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DC074D" w14:textId="77777777" w:rsidR="00681F1B" w:rsidRDefault="00681F1B" w:rsidP="005E04D1">
      <w:pPr>
        <w:pStyle w:val="NoSpacing"/>
        <w:rPr>
          <w:rFonts w:ascii="Arial" w:hAnsi="Arial" w:cs="Arial"/>
        </w:rPr>
      </w:pPr>
    </w:p>
    <w:p w14:paraId="40DC074E" w14:textId="77777777" w:rsidR="007C3D77" w:rsidRDefault="007C3D77" w:rsidP="005E04D1">
      <w:pPr>
        <w:pStyle w:val="NoSpacing"/>
        <w:rPr>
          <w:rFonts w:ascii="Arial" w:hAnsi="Arial" w:cs="Arial"/>
        </w:rPr>
      </w:pPr>
    </w:p>
    <w:p w14:paraId="40DC074F" w14:textId="77777777" w:rsidR="007C3D77" w:rsidRDefault="007C3D77" w:rsidP="005E04D1">
      <w:pPr>
        <w:pStyle w:val="NoSpacing"/>
        <w:rPr>
          <w:rFonts w:ascii="Arial" w:hAnsi="Arial" w:cs="Arial"/>
        </w:rPr>
      </w:pPr>
    </w:p>
    <w:p w14:paraId="40DC0750" w14:textId="77777777" w:rsidR="00B837D7" w:rsidRDefault="00B837D7" w:rsidP="00B837D7">
      <w:pPr>
        <w:pStyle w:val="NoSpacing"/>
        <w:numPr>
          <w:ilvl w:val="0"/>
          <w:numId w:val="7"/>
        </w:numPr>
        <w:rPr>
          <w:rFonts w:ascii="Arial" w:hAnsi="Arial" w:cs="Arial"/>
        </w:rPr>
      </w:pPr>
      <w:r>
        <w:rPr>
          <w:rFonts w:ascii="Arial" w:hAnsi="Arial" w:cs="Arial"/>
        </w:rPr>
        <w:t xml:space="preserve">Other proactive releases this quarter included: </w:t>
      </w:r>
    </w:p>
    <w:p w14:paraId="40DC0751" w14:textId="77777777" w:rsidR="00B837D7" w:rsidRDefault="00B837D7" w:rsidP="00B837D7">
      <w:pPr>
        <w:pStyle w:val="NoSpacing"/>
        <w:ind w:left="720"/>
        <w:rPr>
          <w:rFonts w:ascii="Arial" w:hAnsi="Arial" w:cs="Arial"/>
        </w:rPr>
      </w:pPr>
    </w:p>
    <w:p w14:paraId="40DC0752" w14:textId="77777777" w:rsidR="00B837D7" w:rsidRDefault="00B837D7" w:rsidP="00B837D7">
      <w:pPr>
        <w:pStyle w:val="NoSpacing"/>
        <w:numPr>
          <w:ilvl w:val="0"/>
          <w:numId w:val="5"/>
        </w:numPr>
        <w:rPr>
          <w:rFonts w:ascii="Arial" w:hAnsi="Arial" w:cs="Arial"/>
        </w:rPr>
      </w:pPr>
      <w:r>
        <w:rPr>
          <w:rFonts w:ascii="Arial" w:hAnsi="Arial" w:cs="Arial"/>
        </w:rPr>
        <w:t xml:space="preserve">Blue badge fraud prosecutions </w:t>
      </w:r>
      <w:r w:rsidR="007C3D77">
        <w:rPr>
          <w:rFonts w:ascii="Arial" w:hAnsi="Arial" w:cs="Arial"/>
        </w:rPr>
        <w:t xml:space="preserve">by councils </w:t>
      </w:r>
      <w:r>
        <w:rPr>
          <w:rFonts w:ascii="Arial" w:hAnsi="Arial" w:cs="Arial"/>
        </w:rPr>
        <w:t xml:space="preserve">double </w:t>
      </w:r>
      <w:r w:rsidRPr="00A53B5E">
        <w:rPr>
          <w:rFonts w:ascii="Arial" w:hAnsi="Arial" w:cs="Arial"/>
          <w:b/>
        </w:rPr>
        <w:t>(15 episodes of media coverage)</w:t>
      </w:r>
    </w:p>
    <w:p w14:paraId="40DC0753" w14:textId="77777777" w:rsidR="00B837D7" w:rsidRDefault="00B837D7" w:rsidP="00B837D7">
      <w:pPr>
        <w:pStyle w:val="NoSpacing"/>
        <w:numPr>
          <w:ilvl w:val="0"/>
          <w:numId w:val="5"/>
        </w:numPr>
        <w:rPr>
          <w:rFonts w:ascii="Arial" w:hAnsi="Arial" w:cs="Arial"/>
        </w:rPr>
      </w:pPr>
      <w:r>
        <w:rPr>
          <w:rFonts w:ascii="Arial" w:hAnsi="Arial" w:cs="Arial"/>
        </w:rPr>
        <w:t xml:space="preserve">Restore school intervention powers to councils to bring stability </w:t>
      </w:r>
      <w:r w:rsidRPr="00A53B5E">
        <w:rPr>
          <w:rFonts w:ascii="Arial" w:hAnsi="Arial" w:cs="Arial"/>
          <w:b/>
        </w:rPr>
        <w:t>(14 episodes of media coverage)</w:t>
      </w:r>
    </w:p>
    <w:p w14:paraId="40DC0754" w14:textId="77777777" w:rsidR="00B837D7" w:rsidRDefault="00B837D7" w:rsidP="00B837D7">
      <w:pPr>
        <w:pStyle w:val="NoSpacing"/>
        <w:numPr>
          <w:ilvl w:val="0"/>
          <w:numId w:val="5"/>
        </w:numPr>
        <w:rPr>
          <w:rFonts w:ascii="Arial" w:hAnsi="Arial" w:cs="Arial"/>
        </w:rPr>
      </w:pPr>
      <w:r>
        <w:rPr>
          <w:rFonts w:ascii="Arial" w:hAnsi="Arial" w:cs="Arial"/>
        </w:rPr>
        <w:t xml:space="preserve">Tougher powers needed for councils to tackle rogue landlords </w:t>
      </w:r>
      <w:r w:rsidRPr="00A53B5E">
        <w:rPr>
          <w:rFonts w:ascii="Arial" w:hAnsi="Arial" w:cs="Arial"/>
          <w:b/>
        </w:rPr>
        <w:t>(14 episodes of media coverage)</w:t>
      </w:r>
    </w:p>
    <w:p w14:paraId="40DC0755" w14:textId="77777777" w:rsidR="00B837D7" w:rsidRPr="00767A04" w:rsidRDefault="00B837D7" w:rsidP="00B837D7">
      <w:pPr>
        <w:pStyle w:val="NoSpacing"/>
        <w:numPr>
          <w:ilvl w:val="0"/>
          <w:numId w:val="5"/>
        </w:numPr>
        <w:rPr>
          <w:rFonts w:ascii="Arial" w:hAnsi="Arial" w:cs="Arial"/>
        </w:rPr>
      </w:pPr>
      <w:r>
        <w:rPr>
          <w:rFonts w:ascii="Arial" w:hAnsi="Arial" w:cs="Arial"/>
        </w:rPr>
        <w:t xml:space="preserve">Councils secure tougher powers to address betting shop clustering </w:t>
      </w:r>
      <w:r w:rsidRPr="00A53B5E">
        <w:rPr>
          <w:rFonts w:ascii="Arial" w:hAnsi="Arial" w:cs="Arial"/>
          <w:b/>
        </w:rPr>
        <w:t>(10 episodes of media coverage)</w:t>
      </w:r>
    </w:p>
    <w:p w14:paraId="40DC0756" w14:textId="77777777" w:rsidR="00B837D7" w:rsidRDefault="00B837D7" w:rsidP="00B837D7">
      <w:pPr>
        <w:pStyle w:val="NoSpacing"/>
        <w:numPr>
          <w:ilvl w:val="0"/>
          <w:numId w:val="5"/>
        </w:numPr>
        <w:rPr>
          <w:rFonts w:ascii="Arial" w:hAnsi="Arial" w:cs="Arial"/>
        </w:rPr>
      </w:pPr>
      <w:r>
        <w:rPr>
          <w:rFonts w:ascii="Arial" w:hAnsi="Arial" w:cs="Arial"/>
        </w:rPr>
        <w:t xml:space="preserve">Councils face £5.8bn funding black hole </w:t>
      </w:r>
      <w:r w:rsidRPr="00A53B5E">
        <w:rPr>
          <w:rFonts w:ascii="Arial" w:hAnsi="Arial" w:cs="Arial"/>
          <w:b/>
        </w:rPr>
        <w:t>(9 episodes of media coverage)</w:t>
      </w:r>
    </w:p>
    <w:p w14:paraId="40DC0757" w14:textId="77777777" w:rsidR="00B837D7" w:rsidRPr="00B837D7" w:rsidRDefault="00B837D7" w:rsidP="00B837D7">
      <w:pPr>
        <w:pStyle w:val="NoSpacing"/>
        <w:numPr>
          <w:ilvl w:val="0"/>
          <w:numId w:val="5"/>
        </w:numPr>
        <w:rPr>
          <w:rFonts w:ascii="Arial" w:hAnsi="Arial" w:cs="Arial"/>
          <w:b/>
        </w:rPr>
      </w:pPr>
      <w:r>
        <w:rPr>
          <w:rFonts w:ascii="Arial" w:hAnsi="Arial" w:cs="Arial"/>
        </w:rPr>
        <w:t xml:space="preserve">LGA calls for five-year commitment to health and social care funding </w:t>
      </w:r>
      <w:r w:rsidRPr="00A53B5E">
        <w:rPr>
          <w:rFonts w:ascii="Arial" w:hAnsi="Arial" w:cs="Arial"/>
          <w:b/>
        </w:rPr>
        <w:t>(6 episodes of media coverage</w:t>
      </w:r>
      <w:r>
        <w:rPr>
          <w:rFonts w:ascii="Arial" w:hAnsi="Arial" w:cs="Arial"/>
          <w:b/>
        </w:rPr>
        <w:t>)</w:t>
      </w:r>
    </w:p>
    <w:p w14:paraId="40DC0758" w14:textId="77777777" w:rsidR="00681F1B" w:rsidRDefault="00681F1B" w:rsidP="00681F1B">
      <w:pPr>
        <w:pStyle w:val="NoSpacing"/>
        <w:rPr>
          <w:rFonts w:ascii="Arial" w:hAnsi="Arial" w:cs="Arial"/>
        </w:rPr>
      </w:pPr>
    </w:p>
    <w:p w14:paraId="40DC0759" w14:textId="77777777" w:rsidR="00B837D7" w:rsidRDefault="00B837D7" w:rsidP="00681F1B">
      <w:pPr>
        <w:pStyle w:val="NoSpacing"/>
        <w:rPr>
          <w:rFonts w:ascii="Arial" w:hAnsi="Arial" w:cs="Arial"/>
        </w:rPr>
      </w:pPr>
    </w:p>
    <w:p w14:paraId="40DC075A" w14:textId="77777777" w:rsidR="00B837D7" w:rsidRDefault="00B837D7" w:rsidP="00681F1B">
      <w:pPr>
        <w:pStyle w:val="NoSpacing"/>
        <w:rPr>
          <w:rFonts w:ascii="Arial" w:hAnsi="Arial" w:cs="Arial"/>
        </w:rPr>
      </w:pPr>
    </w:p>
    <w:p w14:paraId="40DC075B" w14:textId="77777777" w:rsidR="00681F1B" w:rsidRPr="00681F1B" w:rsidRDefault="00681F1B" w:rsidP="00681F1B">
      <w:pPr>
        <w:pStyle w:val="NoSpacing"/>
        <w:rPr>
          <w:rFonts w:ascii="Arial" w:hAnsi="Arial" w:cs="Arial"/>
          <w:b/>
        </w:rPr>
      </w:pPr>
      <w:r w:rsidRPr="00681F1B">
        <w:rPr>
          <w:rFonts w:ascii="Arial" w:hAnsi="Arial" w:cs="Arial"/>
          <w:b/>
        </w:rPr>
        <w:t>Print and online media</w:t>
      </w:r>
    </w:p>
    <w:p w14:paraId="40DC075C" w14:textId="77777777" w:rsidR="00681F1B" w:rsidRDefault="00681F1B" w:rsidP="00681F1B">
      <w:pPr>
        <w:pStyle w:val="NoSpacing"/>
        <w:rPr>
          <w:rFonts w:ascii="Arial" w:hAnsi="Arial" w:cs="Arial"/>
        </w:rPr>
      </w:pPr>
    </w:p>
    <w:p w14:paraId="40DC075D" w14:textId="77777777" w:rsidR="00681F1B" w:rsidRDefault="00890FD2" w:rsidP="00B837D7">
      <w:pPr>
        <w:pStyle w:val="NoSpacing"/>
        <w:numPr>
          <w:ilvl w:val="0"/>
          <w:numId w:val="7"/>
        </w:numPr>
        <w:rPr>
          <w:rFonts w:ascii="Arial" w:hAnsi="Arial" w:cs="Arial"/>
        </w:rPr>
      </w:pPr>
      <w:r>
        <w:rPr>
          <w:rFonts w:ascii="Arial" w:hAnsi="Arial" w:cs="Arial"/>
        </w:rPr>
        <w:t>The following sets out national newspaper and online coverage for the period April to June 2014.</w:t>
      </w:r>
    </w:p>
    <w:p w14:paraId="40DC075E" w14:textId="77777777" w:rsidR="00681F1B" w:rsidRDefault="00681F1B" w:rsidP="005E04D1">
      <w:pPr>
        <w:pStyle w:val="NoSpacing"/>
        <w:rPr>
          <w:rFonts w:ascii="Arial" w:hAnsi="Arial" w:cs="Arial"/>
        </w:rPr>
      </w:pPr>
    </w:p>
    <w:p w14:paraId="40DC075F" w14:textId="77777777" w:rsidR="00681F1B" w:rsidRDefault="00681F1B" w:rsidP="005E04D1">
      <w:pPr>
        <w:pStyle w:val="NoSpacing"/>
        <w:rPr>
          <w:rFonts w:ascii="Arial" w:hAnsi="Arial" w:cs="Arial"/>
        </w:rPr>
      </w:pPr>
      <w:r>
        <w:rPr>
          <w:rFonts w:ascii="Arial" w:hAnsi="Arial" w:cs="Arial"/>
          <w:noProof/>
          <w:sz w:val="24"/>
          <w:szCs w:val="24"/>
          <w:lang w:eastAsia="en-GB"/>
        </w:rPr>
        <w:drawing>
          <wp:inline distT="0" distB="0" distL="0" distR="0" wp14:anchorId="40DC07D6" wp14:editId="40DC07D7">
            <wp:extent cx="5981700" cy="33051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DC0760" w14:textId="77777777" w:rsidR="00681F1B" w:rsidRDefault="00681F1B" w:rsidP="005E04D1">
      <w:pPr>
        <w:pStyle w:val="NoSpacing"/>
        <w:rPr>
          <w:rFonts w:ascii="Arial" w:hAnsi="Arial" w:cs="Arial"/>
        </w:rPr>
      </w:pPr>
    </w:p>
    <w:p w14:paraId="40DC0761" w14:textId="77777777" w:rsidR="00681F1B" w:rsidRDefault="00E44465" w:rsidP="00B837D7">
      <w:pPr>
        <w:pStyle w:val="NoSpacing"/>
        <w:numPr>
          <w:ilvl w:val="0"/>
          <w:numId w:val="7"/>
        </w:numPr>
        <w:rPr>
          <w:rFonts w:ascii="Arial" w:hAnsi="Arial" w:cs="Arial"/>
        </w:rPr>
      </w:pPr>
      <w:r>
        <w:rPr>
          <w:rFonts w:ascii="Arial" w:hAnsi="Arial" w:cs="Arial"/>
        </w:rPr>
        <w:t xml:space="preserve">The LGA appeared in every national daily newspaper – except for the Star – and five Sunday titles during this quarter. </w:t>
      </w:r>
      <w:r w:rsidR="005A0574">
        <w:rPr>
          <w:rFonts w:ascii="Arial" w:hAnsi="Arial" w:cs="Arial"/>
        </w:rPr>
        <w:t>We featured</w:t>
      </w:r>
      <w:r>
        <w:rPr>
          <w:rFonts w:ascii="Arial" w:hAnsi="Arial" w:cs="Arial"/>
        </w:rPr>
        <w:t xml:space="preserve"> in the </w:t>
      </w:r>
      <w:r w:rsidRPr="00713CC6">
        <w:rPr>
          <w:rFonts w:ascii="Arial" w:hAnsi="Arial" w:cs="Arial"/>
          <w:b/>
        </w:rPr>
        <w:t>Guardian</w:t>
      </w:r>
      <w:r>
        <w:rPr>
          <w:rFonts w:ascii="Arial" w:hAnsi="Arial" w:cs="Arial"/>
        </w:rPr>
        <w:t xml:space="preserve"> most with </w:t>
      </w:r>
      <w:r w:rsidRPr="00713CC6">
        <w:rPr>
          <w:rFonts w:ascii="Arial" w:hAnsi="Arial" w:cs="Arial"/>
          <w:b/>
        </w:rPr>
        <w:t>54</w:t>
      </w:r>
      <w:r>
        <w:rPr>
          <w:rFonts w:ascii="Arial" w:hAnsi="Arial" w:cs="Arial"/>
        </w:rPr>
        <w:t xml:space="preserve"> mentions</w:t>
      </w:r>
      <w:r w:rsidR="007C3D77">
        <w:rPr>
          <w:rFonts w:ascii="Arial" w:hAnsi="Arial" w:cs="Arial"/>
        </w:rPr>
        <w:t xml:space="preserve"> </w:t>
      </w:r>
      <w:r w:rsidR="005A0574">
        <w:rPr>
          <w:rFonts w:ascii="Arial" w:hAnsi="Arial" w:cs="Arial"/>
        </w:rPr>
        <w:t xml:space="preserve">while the </w:t>
      </w:r>
      <w:r w:rsidR="005A0574" w:rsidRPr="00713CC6">
        <w:rPr>
          <w:rFonts w:ascii="Arial" w:hAnsi="Arial" w:cs="Arial"/>
          <w:b/>
        </w:rPr>
        <w:t>BBC</w:t>
      </w:r>
      <w:r w:rsidR="005A0574">
        <w:rPr>
          <w:rFonts w:ascii="Arial" w:hAnsi="Arial" w:cs="Arial"/>
        </w:rPr>
        <w:t xml:space="preserve"> covered stories </w:t>
      </w:r>
      <w:r w:rsidR="005A0574" w:rsidRPr="00713CC6">
        <w:rPr>
          <w:rFonts w:ascii="Arial" w:hAnsi="Arial" w:cs="Arial"/>
          <w:b/>
        </w:rPr>
        <w:t>37</w:t>
      </w:r>
      <w:r w:rsidR="005A0574">
        <w:rPr>
          <w:rFonts w:ascii="Arial" w:hAnsi="Arial" w:cs="Arial"/>
        </w:rPr>
        <w:t xml:space="preserve"> times including reports on CCTV parking, school places, local elections and school accountability.</w:t>
      </w:r>
    </w:p>
    <w:p w14:paraId="40DC0762" w14:textId="77777777" w:rsidR="00B837D7" w:rsidRDefault="00B837D7" w:rsidP="00B837D7">
      <w:pPr>
        <w:pStyle w:val="NoSpacing"/>
        <w:ind w:left="720"/>
        <w:rPr>
          <w:rFonts w:ascii="Arial" w:hAnsi="Arial" w:cs="Arial"/>
        </w:rPr>
      </w:pPr>
    </w:p>
    <w:p w14:paraId="40DC0763" w14:textId="77777777" w:rsidR="00681F1B" w:rsidRDefault="00681F1B" w:rsidP="005E04D1">
      <w:pPr>
        <w:pStyle w:val="NoSpacing"/>
        <w:rPr>
          <w:rFonts w:ascii="Arial" w:hAnsi="Arial" w:cs="Arial"/>
        </w:rPr>
      </w:pPr>
      <w:r>
        <w:rPr>
          <w:rFonts w:ascii="Arial" w:hAnsi="Arial" w:cs="Arial"/>
          <w:noProof/>
          <w:sz w:val="20"/>
          <w:szCs w:val="20"/>
          <w:lang w:eastAsia="en-GB"/>
        </w:rPr>
        <w:drawing>
          <wp:inline distT="0" distB="0" distL="0" distR="0" wp14:anchorId="40DC07D8" wp14:editId="40DC07D9">
            <wp:extent cx="5667375" cy="32004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DC0764" w14:textId="77777777" w:rsidR="00681F1B" w:rsidRDefault="00681F1B" w:rsidP="005E04D1">
      <w:pPr>
        <w:pStyle w:val="NoSpacing"/>
        <w:rPr>
          <w:rFonts w:ascii="Arial" w:hAnsi="Arial" w:cs="Arial"/>
        </w:rPr>
      </w:pPr>
    </w:p>
    <w:p w14:paraId="40DC0765" w14:textId="77777777" w:rsidR="002C5F2A" w:rsidRDefault="002C5F2A" w:rsidP="005E04D1">
      <w:pPr>
        <w:pStyle w:val="NoSpacing"/>
        <w:rPr>
          <w:rFonts w:ascii="Arial" w:hAnsi="Arial" w:cs="Arial"/>
          <w:b/>
        </w:rPr>
      </w:pPr>
    </w:p>
    <w:p w14:paraId="40DC0766" w14:textId="77777777" w:rsidR="00681F1B" w:rsidRPr="00890FD2" w:rsidRDefault="00681F1B" w:rsidP="005E04D1">
      <w:pPr>
        <w:pStyle w:val="NoSpacing"/>
        <w:rPr>
          <w:rFonts w:ascii="Arial" w:hAnsi="Arial" w:cs="Arial"/>
          <w:b/>
        </w:rPr>
      </w:pPr>
      <w:r w:rsidRPr="00890FD2">
        <w:rPr>
          <w:rFonts w:ascii="Arial" w:hAnsi="Arial" w:cs="Arial"/>
          <w:b/>
        </w:rPr>
        <w:t>Broadcast media</w:t>
      </w:r>
    </w:p>
    <w:p w14:paraId="40DC0767" w14:textId="77777777" w:rsidR="00681F1B" w:rsidRDefault="00681F1B" w:rsidP="005E04D1">
      <w:pPr>
        <w:pStyle w:val="NoSpacing"/>
        <w:rPr>
          <w:rFonts w:ascii="Arial" w:hAnsi="Arial" w:cs="Arial"/>
        </w:rPr>
      </w:pPr>
    </w:p>
    <w:p w14:paraId="40DC0768" w14:textId="77777777" w:rsidR="00681F1B" w:rsidRDefault="00890FD2" w:rsidP="00B837D7">
      <w:pPr>
        <w:pStyle w:val="NoSpacing"/>
        <w:numPr>
          <w:ilvl w:val="0"/>
          <w:numId w:val="7"/>
        </w:numPr>
        <w:rPr>
          <w:rFonts w:ascii="Arial" w:hAnsi="Arial" w:cs="Arial"/>
        </w:rPr>
      </w:pPr>
      <w:r>
        <w:rPr>
          <w:rFonts w:ascii="Arial" w:hAnsi="Arial" w:cs="Arial"/>
        </w:rPr>
        <w:t>The following sets out our broadcast activity for the period April to June 2014.</w:t>
      </w:r>
    </w:p>
    <w:p w14:paraId="40DC0769" w14:textId="77777777" w:rsidR="00681F1B" w:rsidRDefault="00681F1B" w:rsidP="00681F1B">
      <w:pPr>
        <w:pStyle w:val="NoSpacing"/>
        <w:rPr>
          <w:rFonts w:ascii="Arial" w:hAnsi="Arial" w:cs="Arial"/>
        </w:rPr>
      </w:pPr>
    </w:p>
    <w:p w14:paraId="40DC076A" w14:textId="77777777" w:rsidR="00681F1B" w:rsidRDefault="00681F1B" w:rsidP="005E04D1">
      <w:pPr>
        <w:pStyle w:val="NoSpacing"/>
        <w:rPr>
          <w:rFonts w:ascii="Arial" w:hAnsi="Arial" w:cs="Arial"/>
        </w:rPr>
      </w:pPr>
      <w:r>
        <w:rPr>
          <w:noProof/>
          <w:lang w:eastAsia="en-GB"/>
        </w:rPr>
        <w:drawing>
          <wp:inline distT="0" distB="0" distL="0" distR="0" wp14:anchorId="40DC07DA" wp14:editId="40DC07DB">
            <wp:extent cx="5734050" cy="26479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DC076B" w14:textId="77777777" w:rsidR="00681F1B" w:rsidRDefault="00681F1B" w:rsidP="005E04D1">
      <w:pPr>
        <w:pStyle w:val="NoSpacing"/>
        <w:rPr>
          <w:rFonts w:ascii="Arial" w:hAnsi="Arial" w:cs="Arial"/>
        </w:rPr>
      </w:pPr>
    </w:p>
    <w:p w14:paraId="40DC076C" w14:textId="77777777" w:rsidR="00681F1B" w:rsidRDefault="00890FD2" w:rsidP="00B837D7">
      <w:pPr>
        <w:pStyle w:val="NoSpacing"/>
        <w:numPr>
          <w:ilvl w:val="0"/>
          <w:numId w:val="7"/>
        </w:numPr>
        <w:rPr>
          <w:rFonts w:ascii="Arial" w:hAnsi="Arial" w:cs="Arial"/>
        </w:rPr>
      </w:pPr>
      <w:r>
        <w:rPr>
          <w:rFonts w:ascii="Arial" w:hAnsi="Arial" w:cs="Arial"/>
        </w:rPr>
        <w:t xml:space="preserve">Our media work saw </w:t>
      </w:r>
      <w:r w:rsidR="00BE3768" w:rsidRPr="0066270E">
        <w:rPr>
          <w:rFonts w:ascii="Arial" w:hAnsi="Arial" w:cs="Arial"/>
          <w:b/>
        </w:rPr>
        <w:t>94</w:t>
      </w:r>
      <w:r>
        <w:rPr>
          <w:rFonts w:ascii="Arial" w:hAnsi="Arial" w:cs="Arial"/>
        </w:rPr>
        <w:t xml:space="preserve"> </w:t>
      </w:r>
      <w:r w:rsidR="007C3D77">
        <w:rPr>
          <w:rFonts w:ascii="Arial" w:hAnsi="Arial" w:cs="Arial"/>
        </w:rPr>
        <w:t xml:space="preserve">episodes of media coverage </w:t>
      </w:r>
      <w:r>
        <w:rPr>
          <w:rFonts w:ascii="Arial" w:hAnsi="Arial" w:cs="Arial"/>
        </w:rPr>
        <w:t xml:space="preserve">on national TV and radio this quarter. </w:t>
      </w:r>
      <w:r w:rsidR="0066270E">
        <w:rPr>
          <w:rFonts w:ascii="Arial" w:hAnsi="Arial" w:cs="Arial"/>
        </w:rPr>
        <w:t xml:space="preserve">June </w:t>
      </w:r>
      <w:r>
        <w:rPr>
          <w:rFonts w:ascii="Arial" w:hAnsi="Arial" w:cs="Arial"/>
        </w:rPr>
        <w:t>was our</w:t>
      </w:r>
      <w:r w:rsidR="0066270E">
        <w:rPr>
          <w:rFonts w:ascii="Arial" w:hAnsi="Arial" w:cs="Arial"/>
        </w:rPr>
        <w:t xml:space="preserve"> busiest broadcast month with </w:t>
      </w:r>
      <w:r w:rsidR="0066270E" w:rsidRPr="0066270E">
        <w:rPr>
          <w:rFonts w:ascii="Arial" w:hAnsi="Arial" w:cs="Arial"/>
          <w:b/>
        </w:rPr>
        <w:t>40</w:t>
      </w:r>
      <w:r w:rsidR="0066270E">
        <w:rPr>
          <w:rFonts w:ascii="Arial" w:hAnsi="Arial" w:cs="Arial"/>
        </w:rPr>
        <w:t xml:space="preserve"> mentions over </w:t>
      </w:r>
      <w:r w:rsidR="0066270E" w:rsidRPr="0066270E">
        <w:rPr>
          <w:rFonts w:ascii="Arial" w:hAnsi="Arial" w:cs="Arial"/>
          <w:b/>
        </w:rPr>
        <w:t>13</w:t>
      </w:r>
      <w:r>
        <w:rPr>
          <w:rFonts w:ascii="Arial" w:hAnsi="Arial" w:cs="Arial"/>
        </w:rPr>
        <w:t xml:space="preserve"> differen</w:t>
      </w:r>
      <w:r w:rsidR="007C3D77">
        <w:rPr>
          <w:rFonts w:ascii="Arial" w:hAnsi="Arial" w:cs="Arial"/>
        </w:rPr>
        <w:t>t</w:t>
      </w:r>
      <w:r>
        <w:rPr>
          <w:rFonts w:ascii="Arial" w:hAnsi="Arial" w:cs="Arial"/>
        </w:rPr>
        <w:t xml:space="preserve"> channels and programmes.</w:t>
      </w:r>
    </w:p>
    <w:p w14:paraId="40DC076D" w14:textId="77777777" w:rsidR="00681F1B" w:rsidRDefault="00681F1B" w:rsidP="00681F1B">
      <w:pPr>
        <w:pStyle w:val="NoSpacing"/>
        <w:ind w:left="720"/>
        <w:rPr>
          <w:rFonts w:ascii="Arial" w:hAnsi="Arial" w:cs="Arial"/>
        </w:rPr>
      </w:pPr>
    </w:p>
    <w:p w14:paraId="40DC076E" w14:textId="77777777" w:rsidR="00681F1B" w:rsidRDefault="005C1E1F" w:rsidP="00B837D7">
      <w:pPr>
        <w:pStyle w:val="NoSpacing"/>
        <w:numPr>
          <w:ilvl w:val="0"/>
          <w:numId w:val="7"/>
        </w:numPr>
        <w:rPr>
          <w:rFonts w:ascii="Arial" w:hAnsi="Arial" w:cs="Arial"/>
        </w:rPr>
      </w:pPr>
      <w:r>
        <w:rPr>
          <w:rFonts w:ascii="Arial" w:hAnsi="Arial" w:cs="Arial"/>
        </w:rPr>
        <w:t xml:space="preserve">Sir Merrick Cockell was interviewed live on </w:t>
      </w:r>
      <w:r w:rsidRPr="00713CC6">
        <w:rPr>
          <w:rFonts w:ascii="Arial" w:hAnsi="Arial" w:cs="Arial"/>
          <w:b/>
        </w:rPr>
        <w:t>BBC News</w:t>
      </w:r>
      <w:r>
        <w:rPr>
          <w:rFonts w:ascii="Arial" w:hAnsi="Arial" w:cs="Arial"/>
        </w:rPr>
        <w:t xml:space="preserve"> on </w:t>
      </w:r>
      <w:r w:rsidRPr="00713CC6">
        <w:rPr>
          <w:rFonts w:ascii="Arial" w:hAnsi="Arial" w:cs="Arial"/>
          <w:b/>
        </w:rPr>
        <w:t>May 23</w:t>
      </w:r>
      <w:r>
        <w:rPr>
          <w:rFonts w:ascii="Arial" w:hAnsi="Arial" w:cs="Arial"/>
        </w:rPr>
        <w:t xml:space="preserve"> to discuss the local election results and the challenges ahead for councils. Sir Merrick returned to the </w:t>
      </w:r>
      <w:r w:rsidRPr="00713CC6">
        <w:rPr>
          <w:rFonts w:ascii="Arial" w:hAnsi="Arial" w:cs="Arial"/>
          <w:b/>
        </w:rPr>
        <w:t>BBC</w:t>
      </w:r>
      <w:r>
        <w:rPr>
          <w:rFonts w:ascii="Arial" w:hAnsi="Arial" w:cs="Arial"/>
        </w:rPr>
        <w:t xml:space="preserve"> </w:t>
      </w:r>
      <w:r w:rsidRPr="00713CC6">
        <w:rPr>
          <w:rFonts w:ascii="Arial" w:hAnsi="Arial" w:cs="Arial"/>
          <w:b/>
        </w:rPr>
        <w:t>Daily Politics</w:t>
      </w:r>
      <w:r>
        <w:rPr>
          <w:rFonts w:ascii="Arial" w:hAnsi="Arial" w:cs="Arial"/>
        </w:rPr>
        <w:t xml:space="preserve"> on </w:t>
      </w:r>
      <w:r w:rsidRPr="00713CC6">
        <w:rPr>
          <w:rFonts w:ascii="Arial" w:hAnsi="Arial" w:cs="Arial"/>
          <w:b/>
        </w:rPr>
        <w:t>June 9</w:t>
      </w:r>
      <w:r>
        <w:rPr>
          <w:rFonts w:ascii="Arial" w:hAnsi="Arial" w:cs="Arial"/>
        </w:rPr>
        <w:t xml:space="preserve"> to talk about </w:t>
      </w:r>
      <w:r w:rsidR="007C3D77">
        <w:rPr>
          <w:rFonts w:ascii="Arial" w:hAnsi="Arial" w:cs="Arial"/>
        </w:rPr>
        <w:t xml:space="preserve">what </w:t>
      </w:r>
      <w:r>
        <w:rPr>
          <w:rFonts w:ascii="Arial" w:hAnsi="Arial" w:cs="Arial"/>
        </w:rPr>
        <w:t xml:space="preserve">life </w:t>
      </w:r>
      <w:r w:rsidR="007C3D77">
        <w:rPr>
          <w:rFonts w:ascii="Arial" w:hAnsi="Arial" w:cs="Arial"/>
        </w:rPr>
        <w:t xml:space="preserve">will be like for new </w:t>
      </w:r>
      <w:r>
        <w:rPr>
          <w:rFonts w:ascii="Arial" w:hAnsi="Arial" w:cs="Arial"/>
        </w:rPr>
        <w:t>councillor</w:t>
      </w:r>
      <w:r w:rsidR="007C3D77">
        <w:rPr>
          <w:rFonts w:ascii="Arial" w:hAnsi="Arial" w:cs="Arial"/>
        </w:rPr>
        <w:t>s</w:t>
      </w:r>
      <w:r>
        <w:rPr>
          <w:rFonts w:ascii="Arial" w:hAnsi="Arial" w:cs="Arial"/>
        </w:rPr>
        <w:t>.</w:t>
      </w:r>
    </w:p>
    <w:p w14:paraId="40DC076F" w14:textId="77777777" w:rsidR="00681F1B" w:rsidRDefault="00681F1B" w:rsidP="00681F1B">
      <w:pPr>
        <w:pStyle w:val="NoSpacing"/>
        <w:ind w:left="720"/>
        <w:rPr>
          <w:rFonts w:ascii="Arial" w:hAnsi="Arial" w:cs="Arial"/>
        </w:rPr>
      </w:pPr>
    </w:p>
    <w:p w14:paraId="40DC0770" w14:textId="77777777" w:rsidR="007C3D77" w:rsidRDefault="007C3D77" w:rsidP="00681F1B">
      <w:pPr>
        <w:pStyle w:val="NoSpacing"/>
        <w:ind w:left="720"/>
        <w:rPr>
          <w:rFonts w:ascii="Arial" w:hAnsi="Arial" w:cs="Arial"/>
        </w:rPr>
      </w:pPr>
    </w:p>
    <w:p w14:paraId="40DC0771" w14:textId="77777777" w:rsidR="00681F1B" w:rsidRDefault="005C1E1F" w:rsidP="00B837D7">
      <w:pPr>
        <w:pStyle w:val="NoSpacing"/>
        <w:numPr>
          <w:ilvl w:val="0"/>
          <w:numId w:val="7"/>
        </w:numPr>
        <w:rPr>
          <w:rFonts w:ascii="Arial" w:hAnsi="Arial" w:cs="Arial"/>
        </w:rPr>
      </w:pPr>
      <w:r>
        <w:rPr>
          <w:rFonts w:ascii="Arial" w:hAnsi="Arial" w:cs="Arial"/>
        </w:rPr>
        <w:t>Cllr Peter Fleming spoke on a wide range of subjects this quarter</w:t>
      </w:r>
      <w:r w:rsidR="00713CC6">
        <w:rPr>
          <w:rFonts w:ascii="Arial" w:hAnsi="Arial" w:cs="Arial"/>
        </w:rPr>
        <w:t xml:space="preserve"> as our lead spokesman </w:t>
      </w:r>
      <w:r w:rsidR="00B837D7">
        <w:rPr>
          <w:rFonts w:ascii="Arial" w:hAnsi="Arial" w:cs="Arial"/>
        </w:rPr>
        <w:t>unrestricted</w:t>
      </w:r>
      <w:r w:rsidR="00713CC6">
        <w:rPr>
          <w:rFonts w:ascii="Arial" w:hAnsi="Arial" w:cs="Arial"/>
        </w:rPr>
        <w:t xml:space="preserve"> by Purdah</w:t>
      </w:r>
      <w:r>
        <w:rPr>
          <w:rFonts w:ascii="Arial" w:hAnsi="Arial" w:cs="Arial"/>
        </w:rPr>
        <w:t xml:space="preserve">. He appeared on </w:t>
      </w:r>
      <w:r w:rsidRPr="00713CC6">
        <w:rPr>
          <w:rFonts w:ascii="Arial" w:hAnsi="Arial" w:cs="Arial"/>
          <w:b/>
        </w:rPr>
        <w:t>LBC</w:t>
      </w:r>
      <w:r>
        <w:rPr>
          <w:rFonts w:ascii="Arial" w:hAnsi="Arial" w:cs="Arial"/>
        </w:rPr>
        <w:t xml:space="preserve"> on </w:t>
      </w:r>
      <w:r w:rsidRPr="00713CC6">
        <w:rPr>
          <w:rFonts w:ascii="Arial" w:hAnsi="Arial" w:cs="Arial"/>
          <w:b/>
        </w:rPr>
        <w:t>May 5</w:t>
      </w:r>
      <w:r>
        <w:rPr>
          <w:rFonts w:ascii="Arial" w:hAnsi="Arial" w:cs="Arial"/>
        </w:rPr>
        <w:t xml:space="preserve"> to discuss taxi licensing, </w:t>
      </w:r>
      <w:r w:rsidRPr="00713CC6">
        <w:rPr>
          <w:rFonts w:ascii="Arial" w:hAnsi="Arial" w:cs="Arial"/>
          <w:b/>
        </w:rPr>
        <w:t>Daily Politics</w:t>
      </w:r>
      <w:r>
        <w:rPr>
          <w:rFonts w:ascii="Arial" w:hAnsi="Arial" w:cs="Arial"/>
        </w:rPr>
        <w:t xml:space="preserve"> on </w:t>
      </w:r>
      <w:r w:rsidRPr="00713CC6">
        <w:rPr>
          <w:rFonts w:ascii="Arial" w:hAnsi="Arial" w:cs="Arial"/>
          <w:b/>
        </w:rPr>
        <w:t>May 6</w:t>
      </w:r>
      <w:r>
        <w:rPr>
          <w:rFonts w:ascii="Arial" w:hAnsi="Arial" w:cs="Arial"/>
        </w:rPr>
        <w:t xml:space="preserve"> on voter registration and on </w:t>
      </w:r>
      <w:r w:rsidRPr="00713CC6">
        <w:rPr>
          <w:rFonts w:ascii="Arial" w:hAnsi="Arial" w:cs="Arial"/>
          <w:b/>
        </w:rPr>
        <w:t>BBC Breakfast</w:t>
      </w:r>
      <w:r>
        <w:rPr>
          <w:rFonts w:ascii="Arial" w:hAnsi="Arial" w:cs="Arial"/>
        </w:rPr>
        <w:t xml:space="preserve"> to talk about Shared Lives schemes on </w:t>
      </w:r>
      <w:r w:rsidRPr="00713CC6">
        <w:rPr>
          <w:rFonts w:ascii="Arial" w:hAnsi="Arial" w:cs="Arial"/>
          <w:b/>
        </w:rPr>
        <w:t>May 28</w:t>
      </w:r>
      <w:r>
        <w:rPr>
          <w:rFonts w:ascii="Arial" w:hAnsi="Arial" w:cs="Arial"/>
        </w:rPr>
        <w:t>.</w:t>
      </w:r>
    </w:p>
    <w:p w14:paraId="40DC0772" w14:textId="77777777" w:rsidR="00681F1B" w:rsidRDefault="00681F1B" w:rsidP="00681F1B">
      <w:pPr>
        <w:pStyle w:val="NoSpacing"/>
        <w:ind w:left="720"/>
        <w:rPr>
          <w:rFonts w:ascii="Arial" w:hAnsi="Arial" w:cs="Arial"/>
        </w:rPr>
      </w:pPr>
    </w:p>
    <w:p w14:paraId="40DC0773" w14:textId="1DF88521" w:rsidR="00681F1B" w:rsidRDefault="007C3D77" w:rsidP="00B837D7">
      <w:pPr>
        <w:pStyle w:val="NoSpacing"/>
        <w:numPr>
          <w:ilvl w:val="0"/>
          <w:numId w:val="7"/>
        </w:numPr>
        <w:rPr>
          <w:rFonts w:ascii="Arial" w:hAnsi="Arial" w:cs="Arial"/>
        </w:rPr>
      </w:pPr>
      <w:r>
        <w:rPr>
          <w:rFonts w:ascii="Arial" w:hAnsi="Arial" w:cs="Arial"/>
          <w:b/>
        </w:rPr>
        <w:t xml:space="preserve">On </w:t>
      </w:r>
      <w:r w:rsidR="0086540D">
        <w:rPr>
          <w:rFonts w:ascii="Arial" w:hAnsi="Arial" w:cs="Arial"/>
          <w:b/>
        </w:rPr>
        <w:t xml:space="preserve">28 June </w:t>
      </w:r>
      <w:r>
        <w:rPr>
          <w:rFonts w:ascii="Arial" w:hAnsi="Arial" w:cs="Arial"/>
        </w:rPr>
        <w:t xml:space="preserve">we widely promoted our lobbying win on the </w:t>
      </w:r>
      <w:r w:rsidR="005C1E1F">
        <w:rPr>
          <w:rFonts w:ascii="Arial" w:hAnsi="Arial" w:cs="Arial"/>
        </w:rPr>
        <w:t>Government</w:t>
      </w:r>
      <w:r>
        <w:rPr>
          <w:rFonts w:ascii="Arial" w:hAnsi="Arial" w:cs="Arial"/>
        </w:rPr>
        <w:t>’s</w:t>
      </w:r>
      <w:r w:rsidR="005C1E1F">
        <w:rPr>
          <w:rFonts w:ascii="Arial" w:hAnsi="Arial" w:cs="Arial"/>
        </w:rPr>
        <w:t xml:space="preserve"> revers</w:t>
      </w:r>
      <w:r>
        <w:rPr>
          <w:rFonts w:ascii="Arial" w:hAnsi="Arial" w:cs="Arial"/>
        </w:rPr>
        <w:t>al</w:t>
      </w:r>
      <w:r w:rsidR="005C1E1F">
        <w:rPr>
          <w:rFonts w:ascii="Arial" w:hAnsi="Arial" w:cs="Arial"/>
        </w:rPr>
        <w:t xml:space="preserve"> </w:t>
      </w:r>
      <w:r w:rsidR="0086540D">
        <w:rPr>
          <w:rFonts w:ascii="Arial" w:hAnsi="Arial" w:cs="Arial"/>
        </w:rPr>
        <w:t xml:space="preserve">of </w:t>
      </w:r>
      <w:bookmarkStart w:id="0" w:name="_GoBack"/>
      <w:bookmarkEnd w:id="0"/>
      <w:r w:rsidR="005C1E1F">
        <w:rPr>
          <w:rFonts w:ascii="Arial" w:hAnsi="Arial" w:cs="Arial"/>
        </w:rPr>
        <w:t>its blanket ban on CCTV parking enforcement. Cllr Fleming discussed the announcement on</w:t>
      </w:r>
      <w:r w:rsidR="005C1E1F" w:rsidRPr="00713CC6">
        <w:rPr>
          <w:rFonts w:ascii="Arial" w:hAnsi="Arial" w:cs="Arial"/>
          <w:b/>
        </w:rPr>
        <w:t xml:space="preserve"> BBC Breakfast, BBC Radio 5 Live, BBC News </w:t>
      </w:r>
      <w:r w:rsidR="005C1E1F">
        <w:rPr>
          <w:rFonts w:ascii="Arial" w:hAnsi="Arial" w:cs="Arial"/>
        </w:rPr>
        <w:t xml:space="preserve">and </w:t>
      </w:r>
      <w:r w:rsidR="005C1E1F" w:rsidRPr="00713CC6">
        <w:rPr>
          <w:rFonts w:ascii="Arial" w:hAnsi="Arial" w:cs="Arial"/>
          <w:b/>
        </w:rPr>
        <w:t>Sky News</w:t>
      </w:r>
      <w:r w:rsidR="005C1E1F">
        <w:rPr>
          <w:rFonts w:ascii="Arial" w:hAnsi="Arial" w:cs="Arial"/>
        </w:rPr>
        <w:t>.</w:t>
      </w:r>
    </w:p>
    <w:p w14:paraId="40DC0774" w14:textId="77777777" w:rsidR="002C5F2A" w:rsidRDefault="002C5F2A" w:rsidP="002C5F2A">
      <w:pPr>
        <w:pStyle w:val="NoSpacing"/>
        <w:rPr>
          <w:rFonts w:ascii="Arial" w:hAnsi="Arial" w:cs="Arial"/>
        </w:rPr>
      </w:pPr>
    </w:p>
    <w:p w14:paraId="40DC0775" w14:textId="77777777" w:rsidR="00681F1B" w:rsidRDefault="00681F1B" w:rsidP="002C5F2A">
      <w:pPr>
        <w:pStyle w:val="NoSpacing"/>
        <w:jc w:val="center"/>
        <w:rPr>
          <w:rFonts w:ascii="Arial" w:hAnsi="Arial" w:cs="Arial"/>
        </w:rPr>
      </w:pPr>
      <w:r>
        <w:rPr>
          <w:noProof/>
          <w:lang w:eastAsia="en-GB"/>
        </w:rPr>
        <w:drawing>
          <wp:inline distT="0" distB="0" distL="0" distR="0" wp14:anchorId="40DC07DC" wp14:editId="40DC07DD">
            <wp:extent cx="5343525" cy="24574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DC0776" w14:textId="77777777" w:rsidR="00681F1B" w:rsidRDefault="00681F1B" w:rsidP="005E04D1">
      <w:pPr>
        <w:pStyle w:val="NoSpacing"/>
        <w:rPr>
          <w:rFonts w:ascii="Arial" w:hAnsi="Arial" w:cs="Arial"/>
        </w:rPr>
      </w:pPr>
    </w:p>
    <w:p w14:paraId="40DC0777" w14:textId="77777777" w:rsidR="00681F1B" w:rsidRDefault="00681F1B" w:rsidP="005E04D1">
      <w:pPr>
        <w:pStyle w:val="NoSpacing"/>
        <w:rPr>
          <w:rFonts w:ascii="Arial" w:hAnsi="Arial" w:cs="Arial"/>
        </w:rPr>
      </w:pPr>
    </w:p>
    <w:p w14:paraId="40DC0778" w14:textId="77777777" w:rsidR="00681F1B" w:rsidRDefault="00681F1B" w:rsidP="00AE066D">
      <w:pPr>
        <w:pStyle w:val="NoSpacing"/>
        <w:jc w:val="center"/>
        <w:rPr>
          <w:rFonts w:ascii="Arial" w:hAnsi="Arial" w:cs="Arial"/>
        </w:rPr>
      </w:pPr>
      <w:r>
        <w:rPr>
          <w:rFonts w:ascii="Arial" w:hAnsi="Arial" w:cs="Arial"/>
          <w:noProof/>
          <w:sz w:val="20"/>
          <w:szCs w:val="20"/>
          <w:lang w:eastAsia="en-GB"/>
        </w:rPr>
        <w:drawing>
          <wp:inline distT="0" distB="0" distL="0" distR="0" wp14:anchorId="40DC07DE" wp14:editId="51BB8280">
            <wp:extent cx="5353050" cy="30956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DC0779" w14:textId="77777777" w:rsidR="00681F1B" w:rsidRDefault="00681F1B" w:rsidP="005E04D1">
      <w:pPr>
        <w:pStyle w:val="NoSpacing"/>
        <w:rPr>
          <w:rFonts w:ascii="Arial" w:hAnsi="Arial" w:cs="Arial"/>
        </w:rPr>
      </w:pPr>
    </w:p>
    <w:p w14:paraId="40DC077A" w14:textId="77777777" w:rsidR="00142BA4" w:rsidRDefault="00890FD2" w:rsidP="00B837D7">
      <w:pPr>
        <w:pStyle w:val="NoSpacing"/>
        <w:numPr>
          <w:ilvl w:val="0"/>
          <w:numId w:val="7"/>
        </w:numPr>
        <w:rPr>
          <w:rFonts w:ascii="Arial" w:hAnsi="Arial" w:cs="Arial"/>
        </w:rPr>
      </w:pPr>
      <w:r>
        <w:rPr>
          <w:rFonts w:ascii="Arial" w:hAnsi="Arial" w:cs="Arial"/>
        </w:rPr>
        <w:t>The majority of coverage this quarter was positive.</w:t>
      </w:r>
      <w:r w:rsidR="00FE7C29">
        <w:rPr>
          <w:rFonts w:ascii="Arial" w:hAnsi="Arial" w:cs="Arial"/>
        </w:rPr>
        <w:t xml:space="preserve"> </w:t>
      </w:r>
    </w:p>
    <w:p w14:paraId="40DC077B" w14:textId="77777777" w:rsidR="00142BA4" w:rsidRDefault="00142BA4" w:rsidP="00142BA4">
      <w:pPr>
        <w:pStyle w:val="NoSpacing"/>
        <w:ind w:left="720"/>
        <w:rPr>
          <w:rFonts w:ascii="Arial" w:hAnsi="Arial" w:cs="Arial"/>
        </w:rPr>
      </w:pPr>
    </w:p>
    <w:p w14:paraId="40DC077C" w14:textId="77777777" w:rsidR="00142BA4" w:rsidRDefault="00FE7C29" w:rsidP="00B837D7">
      <w:pPr>
        <w:pStyle w:val="NoSpacing"/>
        <w:numPr>
          <w:ilvl w:val="0"/>
          <w:numId w:val="7"/>
        </w:numPr>
        <w:rPr>
          <w:rFonts w:ascii="Arial" w:hAnsi="Arial" w:cs="Arial"/>
        </w:rPr>
      </w:pPr>
      <w:r>
        <w:rPr>
          <w:rFonts w:ascii="Arial" w:hAnsi="Arial" w:cs="Arial"/>
        </w:rPr>
        <w:t xml:space="preserve">Negative </w:t>
      </w:r>
      <w:r w:rsidRPr="00D81679">
        <w:rPr>
          <w:rFonts w:ascii="Arial" w:hAnsi="Arial" w:cs="Arial"/>
          <w:b/>
        </w:rPr>
        <w:t>Children and Young People</w:t>
      </w:r>
      <w:r>
        <w:rPr>
          <w:rFonts w:ascii="Arial" w:hAnsi="Arial" w:cs="Arial"/>
        </w:rPr>
        <w:t xml:space="preserve"> coverage came </w:t>
      </w:r>
      <w:r w:rsidR="007C3D77">
        <w:rPr>
          <w:rFonts w:ascii="Arial" w:hAnsi="Arial" w:cs="Arial"/>
        </w:rPr>
        <w:t xml:space="preserve">a story </w:t>
      </w:r>
      <w:r w:rsidR="00D81679">
        <w:rPr>
          <w:rFonts w:ascii="Arial" w:hAnsi="Arial" w:cs="Arial"/>
        </w:rPr>
        <w:t>from Ofsted about children placed in foster care and cuts to children’s mental health services,</w:t>
      </w:r>
      <w:r>
        <w:rPr>
          <w:rFonts w:ascii="Arial" w:hAnsi="Arial" w:cs="Arial"/>
        </w:rPr>
        <w:t xml:space="preserve"> while in </w:t>
      </w:r>
      <w:r w:rsidRPr="00D81679">
        <w:rPr>
          <w:rFonts w:ascii="Arial" w:hAnsi="Arial" w:cs="Arial"/>
          <w:b/>
        </w:rPr>
        <w:t>Community Wellbeing</w:t>
      </w:r>
      <w:r>
        <w:rPr>
          <w:rFonts w:ascii="Arial" w:hAnsi="Arial" w:cs="Arial"/>
        </w:rPr>
        <w:t xml:space="preserve"> it was on </w:t>
      </w:r>
      <w:r w:rsidR="00D81679">
        <w:rPr>
          <w:rFonts w:ascii="Arial" w:hAnsi="Arial" w:cs="Arial"/>
        </w:rPr>
        <w:t>15 minute care visits</w:t>
      </w:r>
      <w:r w:rsidR="007C3D77">
        <w:rPr>
          <w:rFonts w:ascii="Arial" w:hAnsi="Arial" w:cs="Arial"/>
        </w:rPr>
        <w:t xml:space="preserve"> and</w:t>
      </w:r>
      <w:r w:rsidR="00D81679">
        <w:rPr>
          <w:rFonts w:ascii="Arial" w:hAnsi="Arial" w:cs="Arial"/>
        </w:rPr>
        <w:t xml:space="preserve"> a report on rising adult social care complaints from the Local Government Ombudsman</w:t>
      </w:r>
    </w:p>
    <w:p w14:paraId="40DC077D" w14:textId="77777777" w:rsidR="00142BA4" w:rsidRDefault="00142BA4" w:rsidP="00142BA4">
      <w:pPr>
        <w:pStyle w:val="NoSpacing"/>
        <w:ind w:left="720"/>
        <w:rPr>
          <w:rFonts w:ascii="Arial" w:hAnsi="Arial" w:cs="Arial"/>
        </w:rPr>
      </w:pPr>
    </w:p>
    <w:p w14:paraId="40DC077E" w14:textId="77777777" w:rsidR="00142BA4" w:rsidRDefault="00FE7C29" w:rsidP="00B837D7">
      <w:pPr>
        <w:pStyle w:val="NoSpacing"/>
        <w:numPr>
          <w:ilvl w:val="0"/>
          <w:numId w:val="7"/>
        </w:numPr>
        <w:rPr>
          <w:rFonts w:ascii="Arial" w:hAnsi="Arial" w:cs="Arial"/>
        </w:rPr>
      </w:pPr>
      <w:r>
        <w:rPr>
          <w:rFonts w:ascii="Arial" w:hAnsi="Arial" w:cs="Arial"/>
        </w:rPr>
        <w:t xml:space="preserve">In </w:t>
      </w:r>
      <w:r w:rsidRPr="00D81679">
        <w:rPr>
          <w:rFonts w:ascii="Arial" w:hAnsi="Arial" w:cs="Arial"/>
          <w:b/>
        </w:rPr>
        <w:t>Economy and Transport</w:t>
      </w:r>
      <w:r>
        <w:rPr>
          <w:rFonts w:ascii="Arial" w:hAnsi="Arial" w:cs="Arial"/>
        </w:rPr>
        <w:t xml:space="preserve">, reports around parking </w:t>
      </w:r>
      <w:r w:rsidR="00CE3764">
        <w:rPr>
          <w:rFonts w:ascii="Arial" w:hAnsi="Arial" w:cs="Arial"/>
        </w:rPr>
        <w:t>income, the use of CCTV</w:t>
      </w:r>
      <w:r w:rsidR="007C3D77">
        <w:rPr>
          <w:rFonts w:ascii="Arial" w:hAnsi="Arial" w:cs="Arial"/>
        </w:rPr>
        <w:t xml:space="preserve"> in</w:t>
      </w:r>
      <w:r w:rsidR="00CE3764">
        <w:rPr>
          <w:rFonts w:ascii="Arial" w:hAnsi="Arial" w:cs="Arial"/>
        </w:rPr>
        <w:t xml:space="preserve"> parking </w:t>
      </w:r>
      <w:r w:rsidR="007C3D77">
        <w:rPr>
          <w:rFonts w:ascii="Arial" w:hAnsi="Arial" w:cs="Arial"/>
        </w:rPr>
        <w:t xml:space="preserve">enforcement </w:t>
      </w:r>
      <w:r w:rsidR="00CE3764">
        <w:rPr>
          <w:rFonts w:ascii="Arial" w:hAnsi="Arial" w:cs="Arial"/>
        </w:rPr>
        <w:t>and</w:t>
      </w:r>
      <w:r w:rsidR="00D81679">
        <w:rPr>
          <w:rFonts w:ascii="Arial" w:hAnsi="Arial" w:cs="Arial"/>
        </w:rPr>
        <w:t xml:space="preserve"> council road</w:t>
      </w:r>
      <w:r w:rsidR="00CE3764">
        <w:rPr>
          <w:rFonts w:ascii="Arial" w:hAnsi="Arial" w:cs="Arial"/>
        </w:rPr>
        <w:t xml:space="preserve"> </w:t>
      </w:r>
      <w:r w:rsidR="00D81679">
        <w:rPr>
          <w:rFonts w:ascii="Arial" w:hAnsi="Arial" w:cs="Arial"/>
        </w:rPr>
        <w:t xml:space="preserve">works generated some negative coverage </w:t>
      </w:r>
      <w:r>
        <w:rPr>
          <w:rFonts w:ascii="Arial" w:hAnsi="Arial" w:cs="Arial"/>
        </w:rPr>
        <w:t xml:space="preserve">and stories on </w:t>
      </w:r>
      <w:r w:rsidR="00CE3764">
        <w:rPr>
          <w:rFonts w:ascii="Arial" w:hAnsi="Arial" w:cs="Arial"/>
        </w:rPr>
        <w:t xml:space="preserve">local plan delays and </w:t>
      </w:r>
      <w:r w:rsidR="00D81679">
        <w:rPr>
          <w:rFonts w:ascii="Arial" w:hAnsi="Arial" w:cs="Arial"/>
        </w:rPr>
        <w:t>green waste collection charges</w:t>
      </w:r>
      <w:r>
        <w:rPr>
          <w:rFonts w:ascii="Arial" w:hAnsi="Arial" w:cs="Arial"/>
        </w:rPr>
        <w:t xml:space="preserve"> generated negative coverage in </w:t>
      </w:r>
      <w:r w:rsidRPr="00D81679">
        <w:rPr>
          <w:rFonts w:ascii="Arial" w:hAnsi="Arial" w:cs="Arial"/>
          <w:b/>
        </w:rPr>
        <w:t>Environment, Housing and Planning</w:t>
      </w:r>
      <w:r>
        <w:rPr>
          <w:rFonts w:ascii="Arial" w:hAnsi="Arial" w:cs="Arial"/>
        </w:rPr>
        <w:t xml:space="preserve">. </w:t>
      </w:r>
    </w:p>
    <w:p w14:paraId="40DC077F" w14:textId="77777777" w:rsidR="00142BA4" w:rsidRDefault="00142BA4" w:rsidP="00142BA4">
      <w:pPr>
        <w:pStyle w:val="NoSpacing"/>
        <w:ind w:left="720"/>
        <w:rPr>
          <w:rFonts w:ascii="Arial" w:hAnsi="Arial" w:cs="Arial"/>
        </w:rPr>
      </w:pPr>
    </w:p>
    <w:p w14:paraId="40DC0780" w14:textId="77777777" w:rsidR="00681F1B" w:rsidRDefault="00D81679" w:rsidP="00B837D7">
      <w:pPr>
        <w:pStyle w:val="NoSpacing"/>
        <w:numPr>
          <w:ilvl w:val="0"/>
          <w:numId w:val="7"/>
        </w:numPr>
        <w:rPr>
          <w:rFonts w:ascii="Arial" w:hAnsi="Arial" w:cs="Arial"/>
        </w:rPr>
      </w:pPr>
      <w:r>
        <w:rPr>
          <w:rFonts w:ascii="Arial" w:hAnsi="Arial" w:cs="Arial"/>
        </w:rPr>
        <w:t xml:space="preserve">The negative </w:t>
      </w:r>
      <w:r w:rsidRPr="00D81679">
        <w:rPr>
          <w:rFonts w:ascii="Arial" w:hAnsi="Arial" w:cs="Arial"/>
          <w:b/>
        </w:rPr>
        <w:t>Finance</w:t>
      </w:r>
      <w:r>
        <w:rPr>
          <w:rFonts w:ascii="Arial" w:hAnsi="Arial" w:cs="Arial"/>
        </w:rPr>
        <w:t xml:space="preserve"> story was a report on one in 10 councils having used powers to cut business rates in the FT. </w:t>
      </w:r>
      <w:r w:rsidR="00200694">
        <w:rPr>
          <w:rFonts w:ascii="Arial" w:hAnsi="Arial" w:cs="Arial"/>
        </w:rPr>
        <w:t xml:space="preserve">The local government pay offer and strike action </w:t>
      </w:r>
      <w:r>
        <w:rPr>
          <w:rFonts w:ascii="Arial" w:hAnsi="Arial" w:cs="Arial"/>
        </w:rPr>
        <w:t>generated negative</w:t>
      </w:r>
      <w:r w:rsidR="00200694">
        <w:rPr>
          <w:rFonts w:ascii="Arial" w:hAnsi="Arial" w:cs="Arial"/>
        </w:rPr>
        <w:t xml:space="preserve"> coverage</w:t>
      </w:r>
      <w:r>
        <w:rPr>
          <w:rFonts w:ascii="Arial" w:hAnsi="Arial" w:cs="Arial"/>
        </w:rPr>
        <w:t xml:space="preserve"> for</w:t>
      </w:r>
      <w:r w:rsidRPr="00D81679">
        <w:rPr>
          <w:rFonts w:ascii="Arial" w:hAnsi="Arial" w:cs="Arial"/>
          <w:b/>
        </w:rPr>
        <w:t xml:space="preserve"> Workforce</w:t>
      </w:r>
      <w:r w:rsidR="00200694">
        <w:rPr>
          <w:rFonts w:ascii="Arial" w:hAnsi="Arial" w:cs="Arial"/>
        </w:rPr>
        <w:t>.</w:t>
      </w:r>
    </w:p>
    <w:p w14:paraId="40DC0781" w14:textId="77777777" w:rsidR="002C5F2A" w:rsidRDefault="002C5F2A" w:rsidP="006A3760">
      <w:pPr>
        <w:pStyle w:val="NoSpacing"/>
        <w:rPr>
          <w:rFonts w:ascii="Arial" w:hAnsi="Arial" w:cs="Arial"/>
        </w:rPr>
      </w:pPr>
    </w:p>
    <w:p w14:paraId="40DC0782" w14:textId="77777777" w:rsidR="002C5F2A" w:rsidRPr="00D81679" w:rsidRDefault="00681F1B" w:rsidP="00D81679">
      <w:pPr>
        <w:pStyle w:val="NoSpacing"/>
        <w:jc w:val="center"/>
        <w:rPr>
          <w:rFonts w:ascii="Arial" w:hAnsi="Arial" w:cs="Arial"/>
        </w:rPr>
      </w:pPr>
      <w:r w:rsidRPr="002912CE">
        <w:rPr>
          <w:noProof/>
          <w:lang w:eastAsia="en-GB"/>
        </w:rPr>
        <w:drawing>
          <wp:inline distT="0" distB="0" distL="0" distR="0" wp14:anchorId="40DC07E0" wp14:editId="40DC07E1">
            <wp:extent cx="5314950" cy="28098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DC0783" w14:textId="77777777" w:rsidR="00A90B11" w:rsidRDefault="00A90B11" w:rsidP="0026098E">
      <w:pPr>
        <w:pStyle w:val="NoSpacing"/>
        <w:rPr>
          <w:rFonts w:ascii="Arial" w:hAnsi="Arial" w:cs="Arial"/>
          <w:b/>
          <w:u w:val="single"/>
        </w:rPr>
      </w:pPr>
    </w:p>
    <w:p w14:paraId="40DC0784" w14:textId="77777777" w:rsidR="00A90B11" w:rsidRPr="00A90B11" w:rsidRDefault="003228A0" w:rsidP="00A90B11">
      <w:pPr>
        <w:pStyle w:val="NoSpacing"/>
        <w:rPr>
          <w:rFonts w:ascii="Arial" w:hAnsi="Arial" w:cs="Arial"/>
          <w:b/>
          <w:color w:val="000000"/>
          <w:u w:val="single"/>
        </w:rPr>
      </w:pPr>
      <w:r w:rsidRPr="00A90B11">
        <w:rPr>
          <w:rFonts w:ascii="Arial" w:hAnsi="Arial" w:cs="Arial"/>
          <w:b/>
          <w:u w:val="single"/>
        </w:rPr>
        <w:t>Public affairs activity</w:t>
      </w:r>
      <w:r w:rsidR="00A90B11" w:rsidRPr="00A90B11">
        <w:rPr>
          <w:rFonts w:ascii="Arial" w:hAnsi="Arial" w:cs="Arial"/>
          <w:b/>
          <w:u w:val="single"/>
        </w:rPr>
        <w:t xml:space="preserve">, </w:t>
      </w:r>
      <w:r w:rsidR="00A90B11" w:rsidRPr="00A90B11">
        <w:rPr>
          <w:rFonts w:ascii="Arial" w:hAnsi="Arial" w:cs="Arial"/>
          <w:b/>
          <w:color w:val="000000"/>
          <w:u w:val="single"/>
        </w:rPr>
        <w:t>April – June 2014</w:t>
      </w:r>
    </w:p>
    <w:p w14:paraId="40DC0785" w14:textId="77777777" w:rsidR="00A90B11" w:rsidRDefault="00A90B11" w:rsidP="00A90B11">
      <w:pPr>
        <w:rPr>
          <w:rFonts w:ascii="Arial" w:hAnsi="Arial" w:cs="Arial"/>
          <w:b/>
          <w:color w:val="000000"/>
        </w:rPr>
      </w:pPr>
    </w:p>
    <w:p w14:paraId="40DC0786" w14:textId="77777777" w:rsidR="00A90B11" w:rsidRDefault="00A90B11" w:rsidP="00A90B11">
      <w:pPr>
        <w:pStyle w:val="NoSpacing"/>
        <w:numPr>
          <w:ilvl w:val="0"/>
          <w:numId w:val="7"/>
        </w:numPr>
        <w:rPr>
          <w:rFonts w:ascii="Arial" w:hAnsi="Arial" w:cs="Arial"/>
        </w:rPr>
      </w:pPr>
      <w:r w:rsidRPr="00A90B11">
        <w:rPr>
          <w:rFonts w:ascii="Arial" w:hAnsi="Arial" w:cs="Arial"/>
          <w:color w:val="000000"/>
        </w:rPr>
        <w:t xml:space="preserve">The LGA was mentioned </w:t>
      </w:r>
      <w:r w:rsidRPr="00585BD1">
        <w:rPr>
          <w:rFonts w:ascii="Arial" w:hAnsi="Arial" w:cs="Arial"/>
          <w:b/>
        </w:rPr>
        <w:t>274 times</w:t>
      </w:r>
      <w:r w:rsidRPr="00A90B11">
        <w:rPr>
          <w:rFonts w:ascii="Arial" w:hAnsi="Arial" w:cs="Arial"/>
        </w:rPr>
        <w:t xml:space="preserve"> in Parliament in April, May and June 2014.</w:t>
      </w:r>
      <w:r w:rsidR="00585BD1">
        <w:rPr>
          <w:rFonts w:ascii="Arial" w:hAnsi="Arial" w:cs="Arial"/>
        </w:rPr>
        <w:t xml:space="preserve">  This compares to 59 mentions over the same period in 2013.</w:t>
      </w:r>
    </w:p>
    <w:p w14:paraId="40DC0787" w14:textId="77777777" w:rsidR="00A90B11" w:rsidRDefault="00A90B11" w:rsidP="00A90B11">
      <w:pPr>
        <w:pStyle w:val="NoSpacing"/>
        <w:rPr>
          <w:rFonts w:ascii="Arial" w:hAnsi="Arial" w:cs="Arial"/>
        </w:rPr>
      </w:pPr>
    </w:p>
    <w:p w14:paraId="40DC0788" w14:textId="77777777" w:rsidR="00A90B11" w:rsidRPr="00A90B11" w:rsidRDefault="00A90B11" w:rsidP="00A90B11">
      <w:pPr>
        <w:rPr>
          <w:rFonts w:ascii="Arial" w:hAnsi="Arial" w:cs="Arial"/>
          <w:b/>
          <w:color w:val="000000"/>
        </w:rPr>
      </w:pPr>
      <w:r w:rsidRPr="00A90B11">
        <w:rPr>
          <w:rFonts w:ascii="Arial" w:hAnsi="Arial" w:cs="Arial"/>
          <w:b/>
          <w:color w:val="000000"/>
        </w:rPr>
        <w:t>Legislation</w:t>
      </w:r>
    </w:p>
    <w:p w14:paraId="40DC0789" w14:textId="77777777" w:rsidR="00A90B11" w:rsidRDefault="00A90B11" w:rsidP="00A90B11">
      <w:pPr>
        <w:pStyle w:val="NoSpacing"/>
        <w:rPr>
          <w:rFonts w:ascii="Arial" w:hAnsi="Arial" w:cs="Arial"/>
        </w:rPr>
      </w:pPr>
    </w:p>
    <w:p w14:paraId="40DC078A" w14:textId="77777777" w:rsidR="00A90B11" w:rsidRDefault="00A90B11" w:rsidP="00A90B11">
      <w:pPr>
        <w:pStyle w:val="NoSpacing"/>
        <w:numPr>
          <w:ilvl w:val="0"/>
          <w:numId w:val="7"/>
        </w:numPr>
        <w:jc w:val="both"/>
        <w:rPr>
          <w:rFonts w:ascii="Arial" w:hAnsi="Arial" w:cs="Arial"/>
        </w:rPr>
      </w:pPr>
      <w:r w:rsidRPr="00A90B11">
        <w:rPr>
          <w:rFonts w:ascii="Arial" w:hAnsi="Arial" w:cs="Arial"/>
          <w:color w:val="000000"/>
        </w:rPr>
        <w:t>This quarter has seen the opening of the final session of Parliament before the 2015 General Election and the publication of the Government’s legislative intentions for the next twelve months. Since the Queen’s Speech, the Serious Crime Bill has been published and we briefed Peers ahead of the Second Reading in the House of Lords when a number of our messages were quoted. We also began working with individual Peers</w:t>
      </w:r>
      <w:r w:rsidRPr="00A90B11">
        <w:rPr>
          <w:rFonts w:ascii="Arial" w:hAnsi="Arial" w:cs="Arial"/>
        </w:rPr>
        <w:t xml:space="preserve"> on specific amendments to explore whether local authorities who play a role in </w:t>
      </w:r>
      <w:r w:rsidR="00585BD1" w:rsidRPr="00A90B11">
        <w:rPr>
          <w:rFonts w:ascii="Arial" w:hAnsi="Arial" w:cs="Arial"/>
        </w:rPr>
        <w:t>prevent</w:t>
      </w:r>
      <w:r w:rsidR="00585BD1">
        <w:rPr>
          <w:rFonts w:ascii="Arial" w:hAnsi="Arial" w:cs="Arial"/>
        </w:rPr>
        <w:t>ing</w:t>
      </w:r>
      <w:r w:rsidRPr="00A90B11">
        <w:rPr>
          <w:rFonts w:ascii="Arial" w:hAnsi="Arial" w:cs="Arial"/>
        </w:rPr>
        <w:t xml:space="preserve"> of crime could receive a larger share of criminals’ assets. In addition, we are seeking a new clause to be inserted into the Bill which would criminalise inciting and condoning FGM.</w:t>
      </w:r>
    </w:p>
    <w:p w14:paraId="40DC078B" w14:textId="77777777" w:rsidR="00A90B11" w:rsidRPr="00A90B11" w:rsidRDefault="00A90B11" w:rsidP="00A90B11">
      <w:pPr>
        <w:pStyle w:val="NoSpacing"/>
        <w:ind w:left="720"/>
        <w:jc w:val="both"/>
        <w:rPr>
          <w:rFonts w:ascii="Arial" w:hAnsi="Arial" w:cs="Arial"/>
        </w:rPr>
      </w:pPr>
    </w:p>
    <w:p w14:paraId="40DC078C"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We briefed Peers ahead of the Second Reading of the Infrastructure Bill on those clauses related to reforming the Highways Agency, changes to the planning system, housing and development corporations and an extension of the powers of the Land Registry. Our messages were quoted within the debate and we are now working with supportive Peers to table amendments as required.  </w:t>
      </w:r>
    </w:p>
    <w:p w14:paraId="40DC078D" w14:textId="77777777" w:rsidR="00A90B11" w:rsidRDefault="00A90B11" w:rsidP="00A90B11">
      <w:pPr>
        <w:pStyle w:val="ListParagraph"/>
        <w:jc w:val="both"/>
        <w:rPr>
          <w:rFonts w:ascii="Arial" w:hAnsi="Arial" w:cs="Arial"/>
          <w:color w:val="000000"/>
        </w:rPr>
      </w:pPr>
    </w:p>
    <w:p w14:paraId="40DC078E"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We have continued to work on the Deregulation Bill, which has been carried over from the last parliamentary session. This has involved briefing MPs during the final stages in the House of Commons on our amendments relating to taxi and private hire vehicle reforms, Right To Buy, CCTV enforcement of parking and our desire for government to undertake a review of all licensing regulations placed upon local government. We also began briefing Peers, from across the political benches, on our concerns and desired amendments ahead of the Bill entering the House of Lords.</w:t>
      </w:r>
      <w:r w:rsidR="00E2377C">
        <w:rPr>
          <w:rFonts w:ascii="Arial" w:hAnsi="Arial" w:cs="Arial"/>
          <w:color w:val="000000"/>
        </w:rPr>
        <w:t xml:space="preserve">  As a result of our work, we have had some success on the issue of parking.</w:t>
      </w:r>
    </w:p>
    <w:p w14:paraId="40DC078F" w14:textId="77777777" w:rsidR="00A90B11" w:rsidRPr="00A90B11" w:rsidRDefault="00A90B11" w:rsidP="00A90B11">
      <w:pPr>
        <w:pStyle w:val="NoSpacing"/>
        <w:ind w:left="720"/>
        <w:jc w:val="both"/>
        <w:rPr>
          <w:rFonts w:ascii="Arial" w:hAnsi="Arial" w:cs="Arial"/>
        </w:rPr>
      </w:pPr>
    </w:p>
    <w:p w14:paraId="40DC0790" w14:textId="77777777" w:rsidR="00A90B11" w:rsidRDefault="00A90B11" w:rsidP="00A90B11">
      <w:pPr>
        <w:ind w:left="360"/>
        <w:rPr>
          <w:rFonts w:ascii="Arial" w:hAnsi="Arial" w:cs="Arial"/>
        </w:rPr>
      </w:pPr>
    </w:p>
    <w:p w14:paraId="40DC0791" w14:textId="77777777" w:rsidR="00A90B11" w:rsidRPr="00A90B11" w:rsidRDefault="00A90B11" w:rsidP="00A90B11">
      <w:pPr>
        <w:rPr>
          <w:rFonts w:ascii="Arial" w:hAnsi="Arial" w:cs="Arial"/>
          <w:b/>
          <w:color w:val="000000"/>
        </w:rPr>
      </w:pPr>
      <w:r w:rsidRPr="00A90B11">
        <w:rPr>
          <w:rFonts w:ascii="Arial" w:hAnsi="Arial" w:cs="Arial"/>
          <w:b/>
          <w:color w:val="000000"/>
        </w:rPr>
        <w:t>Select Committees</w:t>
      </w:r>
    </w:p>
    <w:p w14:paraId="40DC0792" w14:textId="77777777" w:rsidR="00A90B11" w:rsidRPr="00A90B11" w:rsidRDefault="00A90B11" w:rsidP="00A90B11">
      <w:pPr>
        <w:ind w:left="360"/>
        <w:rPr>
          <w:rFonts w:ascii="Arial" w:hAnsi="Arial" w:cs="Arial"/>
        </w:rPr>
      </w:pPr>
    </w:p>
    <w:p w14:paraId="40DC0793" w14:textId="77777777" w:rsidR="00A90B11" w:rsidRDefault="00A90B11" w:rsidP="00A90B11">
      <w:pPr>
        <w:pStyle w:val="NoSpacing"/>
        <w:numPr>
          <w:ilvl w:val="0"/>
          <w:numId w:val="7"/>
        </w:numPr>
        <w:jc w:val="both"/>
        <w:rPr>
          <w:rFonts w:ascii="Arial" w:hAnsi="Arial" w:cs="Arial"/>
        </w:rPr>
      </w:pPr>
      <w:r w:rsidRPr="00A90B11">
        <w:rPr>
          <w:rFonts w:ascii="Arial" w:hAnsi="Arial" w:cs="Arial"/>
        </w:rPr>
        <w:t xml:space="preserve">Over the last three months we have continued to give evidence to numerous Select Committee inquiries. Cllr Clyde Loakes (Vice-Chair, LGA Environment and Housing Board) gave oral evidence to the </w:t>
      </w:r>
      <w:r w:rsidRPr="00A90B11">
        <w:rPr>
          <w:rStyle w:val="Strong"/>
          <w:rFonts w:ascii="Arial" w:hAnsi="Arial" w:cs="Arial"/>
        </w:rPr>
        <w:t xml:space="preserve">Environmental Audit Committee as part of the Committee’s inquiry into growing a circular economy. During the session, Cllr Loakes spoke about how satisfied residents are with </w:t>
      </w:r>
      <w:r w:rsidRPr="00A90B11">
        <w:rPr>
          <w:rFonts w:ascii="Arial" w:hAnsi="Arial" w:cs="Arial"/>
        </w:rPr>
        <w:t xml:space="preserve">recycling and waste services, councils’ efforts to increase recycling over the past decade from 13% to 43%, and the recommendations within the LGA’s </w:t>
      </w:r>
      <w:r w:rsidRPr="00A90B11">
        <w:rPr>
          <w:rFonts w:ascii="Arial" w:hAnsi="Arial" w:cs="Arial"/>
          <w:i/>
        </w:rPr>
        <w:t xml:space="preserve">Wealth from Waste </w:t>
      </w:r>
      <w:r w:rsidRPr="00A90B11">
        <w:rPr>
          <w:rFonts w:ascii="Arial" w:hAnsi="Arial" w:cs="Arial"/>
        </w:rPr>
        <w:t>report. This followed a written submission which we sent to the inquiry in April.</w:t>
      </w:r>
    </w:p>
    <w:p w14:paraId="40DC0794" w14:textId="77777777" w:rsidR="00A90B11" w:rsidRDefault="00A90B11" w:rsidP="00A90B11">
      <w:pPr>
        <w:pStyle w:val="NoSpacing"/>
        <w:ind w:left="720"/>
        <w:jc w:val="both"/>
        <w:rPr>
          <w:rFonts w:ascii="Arial" w:hAnsi="Arial" w:cs="Arial"/>
        </w:rPr>
      </w:pPr>
    </w:p>
    <w:p w14:paraId="40DC0795"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rPr>
        <w:t>Cllr</w:t>
      </w:r>
      <w:r w:rsidRPr="00A90B11">
        <w:rPr>
          <w:rFonts w:ascii="Arial" w:hAnsi="Arial" w:cs="Arial"/>
          <w:iCs/>
          <w:color w:val="000000"/>
        </w:rPr>
        <w:t xml:space="preserve"> Tim Moore (member of the LGA Environment and Housing Board) </w:t>
      </w:r>
      <w:r w:rsidR="00E2377C">
        <w:rPr>
          <w:rFonts w:ascii="Arial" w:hAnsi="Arial" w:cs="Arial"/>
          <w:iCs/>
          <w:color w:val="000000"/>
        </w:rPr>
        <w:t xml:space="preserve">gave </w:t>
      </w:r>
      <w:r w:rsidRPr="00A90B11">
        <w:rPr>
          <w:rFonts w:ascii="Arial" w:hAnsi="Arial" w:cs="Arial"/>
          <w:iCs/>
          <w:color w:val="000000"/>
        </w:rPr>
        <w:t>oral evidence to the Energy and Climate Change Committee inquiry into the Green Deal.</w:t>
      </w:r>
    </w:p>
    <w:p w14:paraId="40DC0796" w14:textId="77777777" w:rsidR="00A90B11" w:rsidRDefault="00A90B11" w:rsidP="00A90B11">
      <w:pPr>
        <w:pStyle w:val="NoSpacing"/>
        <w:ind w:left="720"/>
        <w:jc w:val="both"/>
        <w:rPr>
          <w:rFonts w:ascii="Arial" w:hAnsi="Arial" w:cs="Arial"/>
        </w:rPr>
      </w:pPr>
    </w:p>
    <w:p w14:paraId="40DC0797" w14:textId="77777777" w:rsidR="00A90B11" w:rsidRDefault="00A90B11" w:rsidP="00A90B11">
      <w:pPr>
        <w:pStyle w:val="NoSpacing"/>
        <w:numPr>
          <w:ilvl w:val="0"/>
          <w:numId w:val="7"/>
        </w:numPr>
        <w:jc w:val="both"/>
        <w:rPr>
          <w:rFonts w:ascii="Arial" w:hAnsi="Arial" w:cs="Arial"/>
        </w:rPr>
      </w:pPr>
      <w:r w:rsidRPr="00A90B11">
        <w:rPr>
          <w:rFonts w:ascii="Arial" w:hAnsi="Arial" w:cs="Arial"/>
        </w:rPr>
        <w:t xml:space="preserve">The Work and Pensions Committee published a report on Fraud and Error in the benefits system. The report echoed many of the concerns </w:t>
      </w:r>
      <w:r w:rsidR="00E2377C">
        <w:rPr>
          <w:rFonts w:ascii="Arial" w:hAnsi="Arial" w:cs="Arial"/>
        </w:rPr>
        <w:t xml:space="preserve">we </w:t>
      </w:r>
      <w:r w:rsidRPr="00A90B11">
        <w:rPr>
          <w:rFonts w:ascii="Arial" w:hAnsi="Arial" w:cs="Arial"/>
        </w:rPr>
        <w:t>raised in our evidence, including our concerns about centralising the Single Fraud Investigation Service in advance of setting up Universal Credit.</w:t>
      </w:r>
    </w:p>
    <w:p w14:paraId="40DC0798" w14:textId="77777777" w:rsidR="00A90B11" w:rsidRPr="00A90B11" w:rsidRDefault="00A90B11" w:rsidP="00A90B11">
      <w:pPr>
        <w:pStyle w:val="NoSpacing"/>
        <w:ind w:left="720"/>
        <w:jc w:val="both"/>
        <w:rPr>
          <w:rFonts w:ascii="Arial" w:hAnsi="Arial" w:cs="Arial"/>
        </w:rPr>
      </w:pPr>
    </w:p>
    <w:p w14:paraId="40DC0799" w14:textId="77777777" w:rsid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We submitted evidence to the Parliamentary Regulatory Reform Committee into the </w:t>
      </w:r>
      <w:r w:rsidRPr="00A90B11">
        <w:rPr>
          <w:rFonts w:ascii="Arial" w:hAnsi="Arial" w:cs="Arial"/>
        </w:rPr>
        <w:t>Better Regulation</w:t>
      </w:r>
      <w:r w:rsidRPr="00A90B11">
        <w:rPr>
          <w:rFonts w:ascii="Arial" w:hAnsi="Arial" w:cs="Arial"/>
          <w:color w:val="000000"/>
        </w:rPr>
        <w:t xml:space="preserve">. </w:t>
      </w:r>
      <w:r w:rsidRPr="00A90B11">
        <w:rPr>
          <w:rFonts w:ascii="Arial" w:hAnsi="Arial" w:cs="Arial"/>
        </w:rPr>
        <w:t>Our submission included a call for each Government department to nominate a specific Minister to oversee deregulation.</w:t>
      </w:r>
    </w:p>
    <w:p w14:paraId="40DC079A" w14:textId="77777777" w:rsidR="00A90B11" w:rsidRDefault="00A90B11" w:rsidP="00A90B11">
      <w:pPr>
        <w:pStyle w:val="NoSpacing"/>
        <w:ind w:left="720"/>
        <w:jc w:val="both"/>
        <w:rPr>
          <w:rFonts w:ascii="Arial" w:hAnsi="Arial" w:cs="Arial"/>
        </w:rPr>
      </w:pPr>
    </w:p>
    <w:p w14:paraId="40DC079B" w14:textId="77777777" w:rsidR="00A90B11" w:rsidRDefault="00A90B11" w:rsidP="00A90B11">
      <w:pPr>
        <w:pStyle w:val="NoSpacing"/>
        <w:numPr>
          <w:ilvl w:val="0"/>
          <w:numId w:val="7"/>
        </w:numPr>
        <w:jc w:val="both"/>
        <w:rPr>
          <w:rFonts w:ascii="Arial" w:hAnsi="Arial" w:cs="Arial"/>
        </w:rPr>
      </w:pPr>
      <w:r w:rsidRPr="00A90B11">
        <w:rPr>
          <w:rFonts w:ascii="Arial" w:hAnsi="Arial" w:cs="Arial"/>
        </w:rPr>
        <w:t>In April we submitted a briefing on voter engagement to the Political and Constitutional Reform Select Committee to assist with their related inquiry. We also prepared and issued recommendations on potential future inquiries which the Communities and Local Government Select Committee could hold ahead of the 2015 General Election.</w:t>
      </w:r>
    </w:p>
    <w:p w14:paraId="40DC079C" w14:textId="77777777" w:rsidR="00A90B11" w:rsidRDefault="00A90B11" w:rsidP="00A90B11">
      <w:pPr>
        <w:rPr>
          <w:rFonts w:ascii="Arial" w:hAnsi="Arial" w:cs="Arial"/>
          <w:color w:val="000000"/>
        </w:rPr>
      </w:pPr>
    </w:p>
    <w:p w14:paraId="40DC079D" w14:textId="77777777" w:rsidR="00A90B11" w:rsidRPr="00A90B11" w:rsidRDefault="00A90B11" w:rsidP="00A90B11">
      <w:pPr>
        <w:rPr>
          <w:rFonts w:ascii="Arial" w:hAnsi="Arial" w:cs="Arial"/>
          <w:b/>
          <w:color w:val="000000"/>
        </w:rPr>
      </w:pPr>
      <w:r w:rsidRPr="00A90B11">
        <w:rPr>
          <w:rFonts w:ascii="Arial" w:hAnsi="Arial" w:cs="Arial"/>
          <w:b/>
          <w:color w:val="000000"/>
        </w:rPr>
        <w:t>Further briefing activity</w:t>
      </w:r>
    </w:p>
    <w:p w14:paraId="40DC079E" w14:textId="77777777" w:rsidR="00A90B11" w:rsidRPr="00A90B11" w:rsidRDefault="00A90B11" w:rsidP="00A90B11">
      <w:pPr>
        <w:rPr>
          <w:rFonts w:ascii="Arial" w:hAnsi="Arial" w:cs="Arial"/>
          <w:color w:val="000000"/>
        </w:rPr>
      </w:pPr>
    </w:p>
    <w:p w14:paraId="40DC079F" w14:textId="77777777" w:rsidR="00A90B11" w:rsidRPr="00A90B11" w:rsidRDefault="00E2377C" w:rsidP="00A90B11">
      <w:pPr>
        <w:pStyle w:val="NoSpacing"/>
        <w:numPr>
          <w:ilvl w:val="0"/>
          <w:numId w:val="7"/>
        </w:numPr>
        <w:jc w:val="both"/>
        <w:rPr>
          <w:rFonts w:ascii="Arial" w:hAnsi="Arial" w:cs="Arial"/>
        </w:rPr>
      </w:pPr>
      <w:r>
        <w:rPr>
          <w:rFonts w:ascii="Arial" w:hAnsi="Arial" w:cs="Arial"/>
          <w:color w:val="000000"/>
        </w:rPr>
        <w:t>W</w:t>
      </w:r>
      <w:r w:rsidR="00A90B11" w:rsidRPr="00A90B11">
        <w:rPr>
          <w:rFonts w:ascii="Arial" w:hAnsi="Arial" w:cs="Arial"/>
          <w:color w:val="000000"/>
        </w:rPr>
        <w:t xml:space="preserve">e briefed MPs ahead of a House of Commons debate on the localisation of council tax support. </w:t>
      </w:r>
      <w:r>
        <w:rPr>
          <w:rFonts w:ascii="Arial" w:hAnsi="Arial" w:cs="Arial"/>
          <w:color w:val="000000"/>
        </w:rPr>
        <w:t xml:space="preserve">Our </w:t>
      </w:r>
      <w:r w:rsidR="00A90B11" w:rsidRPr="00A90B11">
        <w:rPr>
          <w:rFonts w:ascii="Arial" w:hAnsi="Arial" w:cs="Arial"/>
          <w:color w:val="000000"/>
        </w:rPr>
        <w:t xml:space="preserve">call for an independent review of the policy and our concerns that the tax is regressive were quoted by MPs. </w:t>
      </w:r>
    </w:p>
    <w:p w14:paraId="40DC07A0" w14:textId="77777777" w:rsidR="00A90B11" w:rsidRPr="00A90B11" w:rsidRDefault="00A90B11" w:rsidP="00A90B11">
      <w:pPr>
        <w:pStyle w:val="NoSpacing"/>
        <w:ind w:left="720"/>
        <w:jc w:val="both"/>
        <w:rPr>
          <w:rFonts w:ascii="Arial" w:hAnsi="Arial" w:cs="Arial"/>
        </w:rPr>
      </w:pPr>
    </w:p>
    <w:p w14:paraId="40DC07A1" w14:textId="77777777" w:rsid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In April we briefed Shadow Local </w:t>
      </w:r>
      <w:r w:rsidRPr="00A90B11">
        <w:rPr>
          <w:rFonts w:ascii="Arial" w:hAnsi="Arial" w:cs="Arial"/>
        </w:rPr>
        <w:t xml:space="preserve">Government Minister Andy Sawford MP (Labour Co-operative, </w:t>
      </w:r>
      <w:r w:rsidRPr="00A90B11">
        <w:rPr>
          <w:rStyle w:val="st"/>
          <w:rFonts w:ascii="Arial" w:hAnsi="Arial" w:cs="Arial"/>
        </w:rPr>
        <w:t xml:space="preserve">Corby and East Northamptonshire) on the local government funding formula, the financial position of councils and </w:t>
      </w:r>
      <w:r w:rsidRPr="00A90B11">
        <w:rPr>
          <w:rFonts w:ascii="Arial" w:hAnsi="Arial" w:cs="Arial"/>
          <w:color w:val="000000"/>
        </w:rPr>
        <w:t xml:space="preserve">the Local </w:t>
      </w:r>
      <w:r w:rsidRPr="00A90B11">
        <w:rPr>
          <w:rFonts w:ascii="Arial" w:hAnsi="Arial" w:cs="Arial"/>
        </w:rPr>
        <w:t xml:space="preserve">Government Pension Scheme. </w:t>
      </w:r>
      <w:r w:rsidR="00E2377C">
        <w:rPr>
          <w:rFonts w:ascii="Arial" w:hAnsi="Arial" w:cs="Arial"/>
        </w:rPr>
        <w:t>W</w:t>
      </w:r>
      <w:r w:rsidRPr="00A90B11">
        <w:rPr>
          <w:rFonts w:ascii="Arial" w:hAnsi="Arial" w:cs="Arial"/>
        </w:rPr>
        <w:t xml:space="preserve">e also briefed Gavin </w:t>
      </w:r>
      <w:proofErr w:type="spellStart"/>
      <w:r w:rsidRPr="00A90B11">
        <w:rPr>
          <w:rFonts w:ascii="Arial" w:hAnsi="Arial" w:cs="Arial"/>
        </w:rPr>
        <w:t>Shuker</w:t>
      </w:r>
      <w:proofErr w:type="spellEnd"/>
      <w:r w:rsidRPr="00A90B11">
        <w:rPr>
          <w:rFonts w:ascii="Arial" w:hAnsi="Arial" w:cs="Arial"/>
        </w:rPr>
        <w:t xml:space="preserve"> MP (Labour, Luton South), </w:t>
      </w:r>
      <w:proofErr w:type="spellStart"/>
      <w:r w:rsidRPr="00A90B11">
        <w:rPr>
          <w:rFonts w:ascii="Arial" w:hAnsi="Arial" w:cs="Arial"/>
          <w:color w:val="000000"/>
        </w:rPr>
        <w:t>Shebana</w:t>
      </w:r>
      <w:proofErr w:type="spellEnd"/>
      <w:r w:rsidRPr="00A90B11">
        <w:rPr>
          <w:rFonts w:ascii="Arial" w:hAnsi="Arial" w:cs="Arial"/>
          <w:color w:val="000000"/>
        </w:rPr>
        <w:t xml:space="preserve"> Mahmood MP (Labour, Birmingham Ladywood) and </w:t>
      </w:r>
      <w:r w:rsidRPr="00A90B11">
        <w:rPr>
          <w:rFonts w:ascii="Arial" w:hAnsi="Arial" w:cs="Arial"/>
        </w:rPr>
        <w:t xml:space="preserve">Emma </w:t>
      </w:r>
      <w:proofErr w:type="spellStart"/>
      <w:r w:rsidRPr="00A90B11">
        <w:rPr>
          <w:rFonts w:ascii="Arial" w:hAnsi="Arial" w:cs="Arial"/>
        </w:rPr>
        <w:t>Lewell</w:t>
      </w:r>
      <w:proofErr w:type="spellEnd"/>
      <w:r w:rsidRPr="00A90B11">
        <w:rPr>
          <w:rFonts w:ascii="Arial" w:hAnsi="Arial" w:cs="Arial"/>
        </w:rPr>
        <w:t>-Buck MP (Labour, South Shields) on the financial position of local government. We briefed Kerry McCarthy MP (Labour, Bristol East) on the financial challenges facing health and adult social care and the Earl of Lytton (Crossbench) on the work of the LGA/CIPFA Finance Commission. We also briefed the National Trust on how local authorities are maintaining public parks in the current financial climate.</w:t>
      </w:r>
    </w:p>
    <w:p w14:paraId="40DC07A2" w14:textId="77777777" w:rsidR="00A90B11" w:rsidRPr="00A90B11" w:rsidRDefault="00A90B11" w:rsidP="00A90B11">
      <w:pPr>
        <w:pStyle w:val="NoSpacing"/>
        <w:ind w:left="720"/>
        <w:jc w:val="both"/>
        <w:rPr>
          <w:rFonts w:ascii="Arial" w:hAnsi="Arial" w:cs="Arial"/>
        </w:rPr>
      </w:pPr>
    </w:p>
    <w:p w14:paraId="40DC07A3"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We briefed Peers ahead of a House of Lords debate on the Government’s decision to exclude councils from the Local Government Pension Scheme. Peers, including a series of LGA Vice Presidents, highlighted local government’s opposition to the proposal and supported </w:t>
      </w:r>
      <w:r w:rsidR="00E2377C">
        <w:rPr>
          <w:rFonts w:ascii="Arial" w:hAnsi="Arial" w:cs="Arial"/>
          <w:color w:val="000000"/>
        </w:rPr>
        <w:t xml:space="preserve">our </w:t>
      </w:r>
      <w:r w:rsidRPr="00A90B11">
        <w:rPr>
          <w:rFonts w:ascii="Arial" w:hAnsi="Arial" w:cs="Arial"/>
          <w:color w:val="000000"/>
        </w:rPr>
        <w:t>call for the decision to be reversed.</w:t>
      </w:r>
    </w:p>
    <w:p w14:paraId="40DC07A4" w14:textId="77777777" w:rsidR="00A90B11" w:rsidRPr="00A90B11" w:rsidRDefault="00A90B11" w:rsidP="00A90B11">
      <w:pPr>
        <w:pStyle w:val="NoSpacing"/>
        <w:ind w:left="720"/>
        <w:jc w:val="both"/>
        <w:rPr>
          <w:rFonts w:ascii="Arial" w:hAnsi="Arial" w:cs="Arial"/>
        </w:rPr>
      </w:pPr>
    </w:p>
    <w:p w14:paraId="40DC07A5"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We </w:t>
      </w:r>
      <w:r w:rsidRPr="00A90B11">
        <w:rPr>
          <w:rFonts w:ascii="Arial" w:hAnsi="Arial" w:cs="Arial"/>
        </w:rPr>
        <w:t xml:space="preserve">briefed MPs ahead of a debate on the private rented sector. </w:t>
      </w:r>
      <w:r w:rsidRPr="00A90B11">
        <w:rPr>
          <w:rFonts w:ascii="Arial" w:hAnsi="Arial" w:cs="Arial"/>
          <w:lang w:eastAsia="en-GB"/>
        </w:rPr>
        <w:t>The debate call</w:t>
      </w:r>
      <w:r w:rsidR="00E2377C">
        <w:rPr>
          <w:rFonts w:ascii="Arial" w:hAnsi="Arial" w:cs="Arial"/>
          <w:lang w:eastAsia="en-GB"/>
        </w:rPr>
        <w:t>ed</w:t>
      </w:r>
      <w:r w:rsidRPr="00A90B11">
        <w:rPr>
          <w:rFonts w:ascii="Arial" w:hAnsi="Arial" w:cs="Arial"/>
          <w:lang w:eastAsia="en-GB"/>
        </w:rPr>
        <w:t xml:space="preserve"> on the Government to legislate for longer-term tenancies; to make three-year tenancies the norm; to act on unpredictable rent rises, and to ban letting agent fees on tenants.</w:t>
      </w:r>
    </w:p>
    <w:p w14:paraId="40DC07A6" w14:textId="77777777" w:rsidR="00A90B11" w:rsidRPr="00A90B11" w:rsidRDefault="00A90B11" w:rsidP="00A90B11">
      <w:pPr>
        <w:pStyle w:val="NoSpacing"/>
        <w:ind w:left="720"/>
        <w:jc w:val="both"/>
        <w:rPr>
          <w:rFonts w:ascii="Arial" w:hAnsi="Arial" w:cs="Arial"/>
        </w:rPr>
      </w:pPr>
    </w:p>
    <w:p w14:paraId="40DC07A7" w14:textId="77777777" w:rsidR="00A90B11" w:rsidRPr="00A90B11" w:rsidRDefault="00A90B11" w:rsidP="00A90B11">
      <w:pPr>
        <w:pStyle w:val="NoSpacing"/>
        <w:numPr>
          <w:ilvl w:val="0"/>
          <w:numId w:val="7"/>
        </w:numPr>
        <w:jc w:val="both"/>
        <w:rPr>
          <w:rFonts w:ascii="Arial" w:hAnsi="Arial" w:cs="Arial"/>
        </w:rPr>
      </w:pPr>
      <w:r w:rsidRPr="00E2377C">
        <w:rPr>
          <w:rFonts w:ascii="Arial" w:hAnsi="Arial" w:cs="Arial"/>
          <w:iCs/>
          <w:color w:val="000000"/>
        </w:rPr>
        <w:t>On housing,</w:t>
      </w:r>
      <w:r w:rsidRPr="00A90B11">
        <w:rPr>
          <w:rFonts w:ascii="Arial" w:hAnsi="Arial" w:cs="Arial"/>
          <w:iCs/>
          <w:color w:val="000000"/>
        </w:rPr>
        <w:t xml:space="preserve"> we </w:t>
      </w:r>
      <w:r w:rsidRPr="00A90B11">
        <w:rPr>
          <w:rFonts w:ascii="Arial" w:hAnsi="Arial" w:cs="Arial"/>
          <w:bCs/>
          <w:iCs/>
          <w:color w:val="000000"/>
        </w:rPr>
        <w:t>briefed</w:t>
      </w:r>
      <w:r w:rsidRPr="00A90B11">
        <w:rPr>
          <w:rFonts w:ascii="Arial" w:hAnsi="Arial" w:cs="Arial"/>
          <w:b/>
          <w:bCs/>
          <w:iCs/>
          <w:color w:val="000000"/>
        </w:rPr>
        <w:t xml:space="preserve"> </w:t>
      </w:r>
      <w:r w:rsidRPr="00A90B11">
        <w:rPr>
          <w:rFonts w:ascii="Arial" w:hAnsi="Arial" w:cs="Arial"/>
        </w:rPr>
        <w:t xml:space="preserve">Vice-Presidents ahead of an oral question in the House of Lords on housing supply, resulting in Baroness </w:t>
      </w:r>
      <w:proofErr w:type="spellStart"/>
      <w:r w:rsidRPr="00A90B11">
        <w:rPr>
          <w:rFonts w:ascii="Arial" w:hAnsi="Arial" w:cs="Arial"/>
        </w:rPr>
        <w:t>Greengross</w:t>
      </w:r>
      <w:proofErr w:type="spellEnd"/>
      <w:r w:rsidRPr="00A90B11">
        <w:rPr>
          <w:rFonts w:ascii="Arial" w:hAnsi="Arial" w:cs="Arial"/>
        </w:rPr>
        <w:t xml:space="preserve"> (Crossbench) citing our call for removal of the housing borrowing cap and the need to recycle Right to Buy receipts into replacement homes. Ahead of related parliamentary questions, we also briefed Adrian Sanders MP (Liberal Democrat, Torbay) and Heidi Alexander MP (Labour, Lewisham East) on </w:t>
      </w:r>
      <w:r w:rsidR="00E2377C">
        <w:rPr>
          <w:rFonts w:ascii="Arial" w:hAnsi="Arial" w:cs="Arial"/>
        </w:rPr>
        <w:t xml:space="preserve">our </w:t>
      </w:r>
      <w:r w:rsidRPr="00A90B11">
        <w:rPr>
          <w:rFonts w:ascii="Arial" w:hAnsi="Arial" w:cs="Arial"/>
        </w:rPr>
        <w:t>position on the private rented sector and housing supply.</w:t>
      </w:r>
    </w:p>
    <w:p w14:paraId="40DC07A8" w14:textId="77777777" w:rsidR="00A90B11" w:rsidRPr="00A90B11" w:rsidRDefault="00A90B11" w:rsidP="00A90B11">
      <w:pPr>
        <w:pStyle w:val="NoSpacing"/>
        <w:ind w:left="720"/>
        <w:jc w:val="both"/>
        <w:rPr>
          <w:rFonts w:ascii="Arial" w:hAnsi="Arial" w:cs="Arial"/>
        </w:rPr>
      </w:pPr>
    </w:p>
    <w:p w14:paraId="40DC07A9" w14:textId="77777777" w:rsidR="00A90B11" w:rsidRPr="00A90B11" w:rsidRDefault="00E2377C" w:rsidP="00A90B11">
      <w:pPr>
        <w:pStyle w:val="NoSpacing"/>
        <w:numPr>
          <w:ilvl w:val="0"/>
          <w:numId w:val="7"/>
        </w:numPr>
        <w:jc w:val="both"/>
        <w:rPr>
          <w:rFonts w:ascii="Arial" w:hAnsi="Arial" w:cs="Arial"/>
        </w:rPr>
      </w:pPr>
      <w:r>
        <w:rPr>
          <w:rFonts w:ascii="Arial" w:hAnsi="Arial" w:cs="Arial"/>
          <w:color w:val="000000"/>
        </w:rPr>
        <w:t>We</w:t>
      </w:r>
      <w:r w:rsidR="00A90B11" w:rsidRPr="00A90B11">
        <w:rPr>
          <w:rFonts w:ascii="Arial" w:hAnsi="Arial" w:cs="Arial"/>
          <w:bCs/>
          <w:iCs/>
        </w:rPr>
        <w:t xml:space="preserve"> briefed</w:t>
      </w:r>
      <w:r w:rsidR="00A90B11" w:rsidRPr="00A90B11">
        <w:rPr>
          <w:rFonts w:ascii="Arial" w:hAnsi="Arial" w:cs="Arial"/>
          <w:bCs/>
          <w:i/>
          <w:iCs/>
        </w:rPr>
        <w:t xml:space="preserve"> </w:t>
      </w:r>
      <w:r w:rsidR="00A90B11" w:rsidRPr="00A90B11">
        <w:rPr>
          <w:rFonts w:ascii="Arial" w:hAnsi="Arial" w:cs="Arial"/>
        </w:rPr>
        <w:t xml:space="preserve">Cllr Richard Watts (Member, LGA Children and Young People Board) ahead of his participation on a panel session, organised by the Local Growth APPG in April, on whether local partnerships are ready to take on the challenge of tackling </w:t>
      </w:r>
      <w:proofErr w:type="spellStart"/>
      <w:r w:rsidR="00A90B11" w:rsidRPr="00A90B11">
        <w:rPr>
          <w:rFonts w:ascii="Arial" w:hAnsi="Arial" w:cs="Arial"/>
        </w:rPr>
        <w:t>worklessness</w:t>
      </w:r>
      <w:proofErr w:type="spellEnd"/>
      <w:r w:rsidR="00A90B11" w:rsidRPr="00A90B11">
        <w:rPr>
          <w:rFonts w:ascii="Arial" w:hAnsi="Arial" w:cs="Arial"/>
        </w:rPr>
        <w:t>. We also b</w:t>
      </w:r>
      <w:r w:rsidR="00A90B11" w:rsidRPr="00A90B11">
        <w:rPr>
          <w:rFonts w:ascii="Arial" w:hAnsi="Arial" w:cs="Arial"/>
          <w:color w:val="000000"/>
        </w:rPr>
        <w:t xml:space="preserve">riefed Baroness </w:t>
      </w:r>
      <w:proofErr w:type="spellStart"/>
      <w:r w:rsidR="00A90B11" w:rsidRPr="00A90B11">
        <w:rPr>
          <w:rFonts w:ascii="Arial" w:hAnsi="Arial" w:cs="Arial"/>
          <w:color w:val="000000"/>
        </w:rPr>
        <w:t>McDonagh</w:t>
      </w:r>
      <w:proofErr w:type="spellEnd"/>
      <w:r w:rsidR="00A90B11" w:rsidRPr="00A90B11">
        <w:rPr>
          <w:rFonts w:ascii="Arial" w:hAnsi="Arial" w:cs="Arial"/>
          <w:color w:val="000000"/>
        </w:rPr>
        <w:t xml:space="preserve"> (Labour) on the findings of </w:t>
      </w:r>
      <w:r>
        <w:rPr>
          <w:rFonts w:ascii="Arial" w:hAnsi="Arial" w:cs="Arial"/>
          <w:color w:val="000000"/>
        </w:rPr>
        <w:t xml:space="preserve">our </w:t>
      </w:r>
      <w:r w:rsidR="00A90B11" w:rsidRPr="00A90B11">
        <w:rPr>
          <w:rFonts w:ascii="Arial" w:hAnsi="Arial" w:cs="Arial"/>
          <w:color w:val="000000"/>
        </w:rPr>
        <w:t>‘</w:t>
      </w:r>
      <w:r w:rsidR="00A90B11" w:rsidRPr="00A90B11">
        <w:rPr>
          <w:rFonts w:ascii="Arial" w:hAnsi="Arial" w:cs="Arial"/>
        </w:rPr>
        <w:t>Totalling the Hidden Talent’ report</w:t>
      </w:r>
      <w:r w:rsidR="00A90B11" w:rsidRPr="00A90B11">
        <w:rPr>
          <w:rFonts w:ascii="Arial" w:hAnsi="Arial" w:cs="Arial"/>
          <w:color w:val="000000"/>
        </w:rPr>
        <w:t xml:space="preserve"> ahead of an oral question she had on tackling youth unemployment.</w:t>
      </w:r>
    </w:p>
    <w:p w14:paraId="40DC07AA" w14:textId="77777777" w:rsidR="00A90B11" w:rsidRPr="00A90B11" w:rsidRDefault="00A90B11" w:rsidP="00A90B11">
      <w:pPr>
        <w:pStyle w:val="NoSpacing"/>
        <w:ind w:left="720"/>
        <w:jc w:val="both"/>
        <w:rPr>
          <w:rFonts w:ascii="Arial" w:hAnsi="Arial" w:cs="Arial"/>
        </w:rPr>
      </w:pPr>
    </w:p>
    <w:p w14:paraId="40DC07AB" w14:textId="77777777" w:rsidR="00A90B11" w:rsidRPr="00A90B11" w:rsidRDefault="00A90B11" w:rsidP="00A90B11">
      <w:pPr>
        <w:rPr>
          <w:rFonts w:ascii="Arial" w:hAnsi="Arial" w:cs="Arial"/>
          <w:color w:val="000000"/>
        </w:rPr>
      </w:pPr>
    </w:p>
    <w:p w14:paraId="40DC07AC" w14:textId="77777777" w:rsidR="00A90B11" w:rsidRPr="00A90B11" w:rsidRDefault="00A90B11" w:rsidP="00A90B11">
      <w:pPr>
        <w:jc w:val="both"/>
        <w:rPr>
          <w:rFonts w:ascii="Arial" w:hAnsi="Arial" w:cs="Arial"/>
          <w:b/>
          <w:color w:val="000000"/>
        </w:rPr>
      </w:pPr>
      <w:r w:rsidRPr="00A90B11">
        <w:rPr>
          <w:rFonts w:ascii="Arial" w:hAnsi="Arial" w:cs="Arial"/>
          <w:b/>
          <w:color w:val="000000"/>
        </w:rPr>
        <w:t>Other activities</w:t>
      </w:r>
    </w:p>
    <w:p w14:paraId="40DC07AD" w14:textId="77777777" w:rsidR="00A90B11" w:rsidRPr="00A90B11" w:rsidRDefault="00A90B11" w:rsidP="00A90B11">
      <w:pPr>
        <w:rPr>
          <w:rFonts w:ascii="Arial" w:hAnsi="Arial" w:cs="Arial"/>
          <w:color w:val="000000"/>
        </w:rPr>
      </w:pPr>
    </w:p>
    <w:p w14:paraId="40DC07AE"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We have now secured nearly 70 speaking opportunities</w:t>
      </w:r>
      <w:r w:rsidR="00E2377C">
        <w:rPr>
          <w:rFonts w:ascii="Arial" w:hAnsi="Arial" w:cs="Arial"/>
          <w:color w:val="000000"/>
        </w:rPr>
        <w:t xml:space="preserve"> (to date)</w:t>
      </w:r>
      <w:r w:rsidRPr="00A90B11">
        <w:rPr>
          <w:rFonts w:ascii="Arial" w:hAnsi="Arial" w:cs="Arial"/>
          <w:color w:val="000000"/>
        </w:rPr>
        <w:t xml:space="preserve"> for LGA members at the three major autumn Party Conferences. These opportunities include events being organised by, among others, the British Parking Association, Living Streets and the British Medical Association. We are also joining with the King’s Fund, L&amp;Q Housing Association and the British Property Federation as partners on their events on housing (</w:t>
      </w:r>
      <w:r w:rsidR="00E2377C">
        <w:rPr>
          <w:rFonts w:ascii="Arial" w:hAnsi="Arial" w:cs="Arial"/>
          <w:color w:val="000000"/>
        </w:rPr>
        <w:t xml:space="preserve">all </w:t>
      </w:r>
      <w:r w:rsidRPr="00A90B11">
        <w:rPr>
          <w:rFonts w:ascii="Arial" w:hAnsi="Arial" w:cs="Arial"/>
          <w:color w:val="000000"/>
        </w:rPr>
        <w:t>at no cost to the LGA).</w:t>
      </w:r>
    </w:p>
    <w:p w14:paraId="40DC07AF" w14:textId="77777777" w:rsidR="00A90B11" w:rsidRPr="00A90B11" w:rsidRDefault="00A90B11" w:rsidP="00A90B11">
      <w:pPr>
        <w:pStyle w:val="NoSpacing"/>
        <w:ind w:left="720"/>
        <w:jc w:val="both"/>
        <w:rPr>
          <w:rFonts w:ascii="Arial" w:hAnsi="Arial" w:cs="Arial"/>
        </w:rPr>
      </w:pPr>
    </w:p>
    <w:p w14:paraId="40DC07B0"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rPr>
        <w:t xml:space="preserve">Following the Queen’s Speech, we published the </w:t>
      </w:r>
      <w:r w:rsidRPr="00A90B11">
        <w:rPr>
          <w:rFonts w:ascii="Arial" w:hAnsi="Arial" w:cs="Arial"/>
          <w:i/>
        </w:rPr>
        <w:t xml:space="preserve">LGA 2013-14 parliamentary </w:t>
      </w:r>
      <w:proofErr w:type="gramStart"/>
      <w:r w:rsidRPr="00A90B11">
        <w:rPr>
          <w:rFonts w:ascii="Arial" w:hAnsi="Arial" w:cs="Arial"/>
          <w:i/>
        </w:rPr>
        <w:t>report</w:t>
      </w:r>
      <w:proofErr w:type="gramEnd"/>
      <w:r w:rsidRPr="00A90B11">
        <w:rPr>
          <w:rFonts w:ascii="Arial" w:hAnsi="Arial" w:cs="Arial"/>
        </w:rPr>
        <w:t xml:space="preserve">, which details all the achievements we delivered in the 2013-14 parliamentary session through our lobbying in both the House of Commons and House of Lords. The report was sent to all LGA Vice-Presidents and promoted through various communications platforms to both members and parliamentarians. </w:t>
      </w:r>
    </w:p>
    <w:p w14:paraId="40DC07B1" w14:textId="77777777" w:rsidR="00A90B11" w:rsidRPr="00A90B11" w:rsidRDefault="00A90B11" w:rsidP="00A90B11">
      <w:pPr>
        <w:pStyle w:val="NoSpacing"/>
        <w:ind w:left="720"/>
        <w:jc w:val="both"/>
        <w:rPr>
          <w:rFonts w:ascii="Arial" w:hAnsi="Arial" w:cs="Arial"/>
        </w:rPr>
      </w:pPr>
    </w:p>
    <w:p w14:paraId="40DC07B2"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 xml:space="preserve">Throughout June we held four </w:t>
      </w:r>
      <w:r w:rsidRPr="00A90B11">
        <w:rPr>
          <w:rFonts w:ascii="Arial" w:eastAsia="Times New Roman" w:hAnsi="Arial" w:cs="Arial"/>
        </w:rPr>
        <w:t xml:space="preserve">roundtable lunches in Parliament for our Vice Presidents’. These events were used as opportunities for us to update them on our current engagement with Parliament, the ideas in </w:t>
      </w:r>
      <w:r w:rsidRPr="00A90B11">
        <w:rPr>
          <w:rFonts w:ascii="Arial" w:eastAsia="Times New Roman" w:hAnsi="Arial" w:cs="Arial"/>
          <w:i/>
        </w:rPr>
        <w:t xml:space="preserve">100 days </w:t>
      </w:r>
      <w:r w:rsidRPr="00A90B11">
        <w:rPr>
          <w:rFonts w:ascii="Arial" w:eastAsia="Times New Roman" w:hAnsi="Arial" w:cs="Arial"/>
        </w:rPr>
        <w:t>and seek their support with influencing the 2015 general election manifestos.</w:t>
      </w:r>
    </w:p>
    <w:p w14:paraId="40DC07B3" w14:textId="77777777" w:rsidR="00A90B11" w:rsidRPr="00A90B11" w:rsidRDefault="00A90B11" w:rsidP="00A90B11">
      <w:pPr>
        <w:pStyle w:val="NoSpacing"/>
        <w:ind w:left="720"/>
        <w:jc w:val="both"/>
        <w:rPr>
          <w:rFonts w:ascii="Arial" w:hAnsi="Arial" w:cs="Arial"/>
        </w:rPr>
      </w:pPr>
    </w:p>
    <w:p w14:paraId="40DC07B4"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rPr>
        <w:t xml:space="preserve">We briefed Lord Brooke of </w:t>
      </w:r>
      <w:proofErr w:type="spellStart"/>
      <w:r w:rsidRPr="00A90B11">
        <w:rPr>
          <w:rFonts w:ascii="Arial" w:hAnsi="Arial" w:cs="Arial"/>
        </w:rPr>
        <w:t>Alverthorpe</w:t>
      </w:r>
      <w:proofErr w:type="spellEnd"/>
      <w:r w:rsidRPr="00A90B11">
        <w:rPr>
          <w:rFonts w:ascii="Arial" w:hAnsi="Arial" w:cs="Arial"/>
        </w:rPr>
        <w:t xml:space="preserve"> (Labour) on the LGA’s ‘Rewiring Licensing’ work, and agreed to work with him on a Private Members Bill related to the project which would make public health a licensing consideration. </w:t>
      </w:r>
    </w:p>
    <w:p w14:paraId="40DC07B5" w14:textId="77777777" w:rsidR="00A90B11" w:rsidRPr="00A90B11" w:rsidRDefault="00A90B11" w:rsidP="00A90B11">
      <w:pPr>
        <w:pStyle w:val="NoSpacing"/>
        <w:ind w:left="720"/>
        <w:jc w:val="both"/>
        <w:rPr>
          <w:rFonts w:ascii="Arial" w:hAnsi="Arial" w:cs="Arial"/>
        </w:rPr>
      </w:pPr>
    </w:p>
    <w:p w14:paraId="40DC07B6" w14:textId="77777777" w:rsidR="00A90B11" w:rsidRPr="00A90B11" w:rsidRDefault="00A90B11" w:rsidP="00A90B11">
      <w:pPr>
        <w:pStyle w:val="NoSpacing"/>
        <w:numPr>
          <w:ilvl w:val="0"/>
          <w:numId w:val="7"/>
        </w:numPr>
        <w:jc w:val="both"/>
        <w:rPr>
          <w:rFonts w:ascii="Arial" w:hAnsi="Arial" w:cs="Arial"/>
        </w:rPr>
      </w:pPr>
      <w:r w:rsidRPr="00A90B11">
        <w:rPr>
          <w:rFonts w:ascii="Arial" w:hAnsi="Arial" w:cs="Arial"/>
          <w:color w:val="000000"/>
        </w:rPr>
        <w:t>Finally, in respect to the ban on CCTV enforcement of parking which the Government is attempting to introduce through the Deregulation Bill, we prepared and published a template letter for councillors to send to their local Members of Parliament, asking them to support our campaign against DCLG’s intention to ban CCTV enforcement of parking. We met with and b</w:t>
      </w:r>
      <w:r w:rsidRPr="00A90B11">
        <w:rPr>
          <w:rFonts w:ascii="Arial" w:hAnsi="Arial" w:cs="Arial"/>
        </w:rPr>
        <w:t xml:space="preserve">riefed Freight Transport Association on </w:t>
      </w:r>
      <w:r w:rsidR="00E2377C">
        <w:rPr>
          <w:rFonts w:ascii="Arial" w:hAnsi="Arial" w:cs="Arial"/>
        </w:rPr>
        <w:t xml:space="preserve">our </w:t>
      </w:r>
      <w:r w:rsidRPr="00A90B11">
        <w:rPr>
          <w:rFonts w:ascii="Arial" w:hAnsi="Arial" w:cs="Arial"/>
        </w:rPr>
        <w:t xml:space="preserve">activities around parking, agreeing and sending a joint letter to the Department for Transport covering our shared concerns. </w:t>
      </w:r>
    </w:p>
    <w:p w14:paraId="40DC07B7" w14:textId="77777777" w:rsidR="00A90B11" w:rsidRDefault="00A90B11" w:rsidP="0026098E">
      <w:pPr>
        <w:pStyle w:val="NoSpacing"/>
        <w:rPr>
          <w:rFonts w:ascii="Arial" w:hAnsi="Arial" w:cs="Arial"/>
          <w:b/>
          <w:u w:val="single"/>
        </w:rPr>
      </w:pPr>
    </w:p>
    <w:p w14:paraId="40DC07B8" w14:textId="77777777" w:rsidR="0026098E" w:rsidRDefault="00026990" w:rsidP="0026098E">
      <w:pPr>
        <w:pStyle w:val="NoSpacing"/>
        <w:rPr>
          <w:rFonts w:ascii="Arial" w:hAnsi="Arial" w:cs="Arial"/>
          <w:b/>
          <w:u w:val="single"/>
        </w:rPr>
      </w:pPr>
      <w:r w:rsidRPr="00026990">
        <w:rPr>
          <w:rFonts w:ascii="Arial" w:hAnsi="Arial" w:cs="Arial"/>
          <w:b/>
          <w:u w:val="single"/>
        </w:rPr>
        <w:t xml:space="preserve">Digital </w:t>
      </w:r>
      <w:r w:rsidR="0026098E">
        <w:rPr>
          <w:rFonts w:ascii="Arial" w:hAnsi="Arial" w:cs="Arial"/>
          <w:b/>
          <w:u w:val="single"/>
        </w:rPr>
        <w:t>communications</w:t>
      </w:r>
    </w:p>
    <w:p w14:paraId="40DC07B9" w14:textId="77777777" w:rsidR="0026098E" w:rsidRPr="0026098E" w:rsidRDefault="0026098E" w:rsidP="0026098E">
      <w:pPr>
        <w:pStyle w:val="NoSpacing"/>
        <w:rPr>
          <w:rFonts w:ascii="Arial" w:hAnsi="Arial" w:cs="Arial"/>
          <w:b/>
          <w:u w:val="single"/>
        </w:rPr>
      </w:pPr>
    </w:p>
    <w:p w14:paraId="40DC07BA" w14:textId="77777777" w:rsidR="00026990" w:rsidRDefault="0026098E" w:rsidP="00A90B11">
      <w:pPr>
        <w:pStyle w:val="NoSpacing"/>
        <w:numPr>
          <w:ilvl w:val="0"/>
          <w:numId w:val="7"/>
        </w:numPr>
        <w:rPr>
          <w:rFonts w:ascii="Arial" w:hAnsi="Arial" w:cs="Arial"/>
        </w:rPr>
      </w:pPr>
      <w:r>
        <w:rPr>
          <w:rFonts w:ascii="Arial" w:hAnsi="Arial" w:cs="Arial"/>
        </w:rPr>
        <w:t>W</w:t>
      </w:r>
      <w:r w:rsidR="00026990">
        <w:rPr>
          <w:rFonts w:ascii="Arial" w:hAnsi="Arial" w:cs="Arial"/>
        </w:rPr>
        <w:t>ebsite statistics April to June 2014</w:t>
      </w:r>
    </w:p>
    <w:p w14:paraId="40DC07BB" w14:textId="77777777" w:rsidR="00026990" w:rsidRDefault="00026990" w:rsidP="00026990">
      <w:pPr>
        <w:pStyle w:val="NoSpacing"/>
        <w:rPr>
          <w:rFonts w:ascii="Arial" w:hAnsi="Arial" w:cs="Arial"/>
        </w:rPr>
      </w:pPr>
    </w:p>
    <w:p w14:paraId="40DC07BC" w14:textId="77777777" w:rsidR="00026990" w:rsidRPr="00C4411E" w:rsidRDefault="00026990" w:rsidP="0026098E">
      <w:pPr>
        <w:pStyle w:val="NoSpacing"/>
        <w:ind w:firstLine="720"/>
        <w:rPr>
          <w:rFonts w:ascii="Arial" w:hAnsi="Arial" w:cs="Arial"/>
          <w:lang w:val="fr-FR"/>
        </w:rPr>
      </w:pPr>
      <w:r w:rsidRPr="00C4411E">
        <w:rPr>
          <w:rFonts w:ascii="Arial" w:hAnsi="Arial" w:cs="Arial"/>
          <w:b/>
          <w:lang w:val="fr-FR"/>
        </w:rPr>
        <w:t>Visits:</w:t>
      </w:r>
      <w:r w:rsidRPr="00C4411E">
        <w:rPr>
          <w:rFonts w:ascii="Arial" w:hAnsi="Arial" w:cs="Arial"/>
          <w:lang w:val="fr-FR"/>
        </w:rPr>
        <w:t xml:space="preserve"> 345,603</w:t>
      </w:r>
      <w:r w:rsidR="0026098E" w:rsidRPr="00C4411E">
        <w:rPr>
          <w:rFonts w:ascii="Arial" w:hAnsi="Arial" w:cs="Arial"/>
          <w:lang w:val="fr-FR"/>
        </w:rPr>
        <w:t>.</w:t>
      </w:r>
      <w:r w:rsidRPr="00C4411E">
        <w:rPr>
          <w:rFonts w:ascii="Arial" w:hAnsi="Arial" w:cs="Arial"/>
          <w:lang w:val="fr-FR"/>
        </w:rPr>
        <w:t xml:space="preserve"> </w:t>
      </w:r>
    </w:p>
    <w:p w14:paraId="40DC07BD" w14:textId="77777777" w:rsidR="00026990" w:rsidRPr="00C4411E" w:rsidRDefault="00026990" w:rsidP="0026098E">
      <w:pPr>
        <w:pStyle w:val="NoSpacing"/>
        <w:ind w:left="720"/>
        <w:rPr>
          <w:rFonts w:ascii="Arial" w:hAnsi="Arial" w:cs="Arial"/>
          <w:lang w:val="fr-FR"/>
        </w:rPr>
      </w:pPr>
      <w:r w:rsidRPr="00C4411E">
        <w:rPr>
          <w:rFonts w:ascii="Arial" w:hAnsi="Arial" w:cs="Arial"/>
          <w:b/>
          <w:lang w:val="fr-FR"/>
        </w:rPr>
        <w:t>Unique visitors</w:t>
      </w:r>
      <w:r w:rsidR="0026098E" w:rsidRPr="00C4411E">
        <w:rPr>
          <w:rFonts w:ascii="Arial" w:hAnsi="Arial" w:cs="Arial"/>
          <w:b/>
          <w:lang w:val="fr-FR"/>
        </w:rPr>
        <w:t>:</w:t>
      </w:r>
      <w:r w:rsidR="0026098E" w:rsidRPr="00C4411E">
        <w:rPr>
          <w:rFonts w:ascii="Arial" w:hAnsi="Arial" w:cs="Arial"/>
          <w:lang w:val="fr-FR"/>
        </w:rPr>
        <w:t xml:space="preserve"> 232,525.</w:t>
      </w:r>
    </w:p>
    <w:p w14:paraId="40DC07BE" w14:textId="77777777" w:rsidR="00026990" w:rsidRPr="00C4411E" w:rsidRDefault="00026990" w:rsidP="0026098E">
      <w:pPr>
        <w:pStyle w:val="NoSpacing"/>
        <w:ind w:firstLine="720"/>
        <w:rPr>
          <w:rFonts w:ascii="Arial" w:hAnsi="Arial" w:cs="Arial"/>
          <w:lang w:val="fr-FR"/>
        </w:rPr>
      </w:pPr>
      <w:r w:rsidRPr="00C4411E">
        <w:rPr>
          <w:rFonts w:ascii="Arial" w:hAnsi="Arial" w:cs="Arial"/>
          <w:b/>
          <w:lang w:val="fr-FR"/>
        </w:rPr>
        <w:t>Page views</w:t>
      </w:r>
      <w:r w:rsidR="0026098E" w:rsidRPr="00C4411E">
        <w:rPr>
          <w:rFonts w:ascii="Arial" w:hAnsi="Arial" w:cs="Arial"/>
          <w:b/>
          <w:lang w:val="fr-FR"/>
        </w:rPr>
        <w:t>:</w:t>
      </w:r>
      <w:r w:rsidR="0026098E" w:rsidRPr="00C4411E">
        <w:rPr>
          <w:rFonts w:ascii="Arial" w:hAnsi="Arial" w:cs="Arial"/>
          <w:lang w:val="fr-FR"/>
        </w:rPr>
        <w:t xml:space="preserve"> </w:t>
      </w:r>
      <w:r w:rsidRPr="00C4411E">
        <w:rPr>
          <w:rFonts w:ascii="Arial" w:hAnsi="Arial" w:cs="Arial"/>
          <w:lang w:val="fr-FR"/>
        </w:rPr>
        <w:t>1,229,094</w:t>
      </w:r>
      <w:r w:rsidR="0026098E" w:rsidRPr="00C4411E">
        <w:rPr>
          <w:rFonts w:ascii="Arial" w:hAnsi="Arial" w:cs="Arial"/>
          <w:lang w:val="fr-FR"/>
        </w:rPr>
        <w:t>.</w:t>
      </w:r>
    </w:p>
    <w:p w14:paraId="40DC07BF" w14:textId="77777777" w:rsidR="0026098E" w:rsidRPr="00C4411E" w:rsidRDefault="0026098E" w:rsidP="00026990">
      <w:pPr>
        <w:pStyle w:val="NoSpacing"/>
        <w:ind w:left="360"/>
        <w:rPr>
          <w:rFonts w:ascii="Arial" w:hAnsi="Arial" w:cs="Arial"/>
          <w:lang w:val="fr-FR"/>
        </w:rPr>
      </w:pPr>
    </w:p>
    <w:p w14:paraId="40DC07C0" w14:textId="77777777" w:rsidR="0089212F" w:rsidRDefault="0089212F" w:rsidP="00026990">
      <w:pPr>
        <w:pStyle w:val="NoSpacing"/>
        <w:ind w:left="360"/>
        <w:rPr>
          <w:rFonts w:ascii="Arial" w:hAnsi="Arial" w:cs="Arial"/>
        </w:rPr>
      </w:pPr>
      <w:r>
        <w:rPr>
          <w:rFonts w:ascii="Arial" w:hAnsi="Arial" w:cs="Arial"/>
        </w:rPr>
        <w:t xml:space="preserve">Number of page views up </w:t>
      </w:r>
      <w:r w:rsidRPr="00AC36E4">
        <w:rPr>
          <w:rFonts w:ascii="Arial" w:hAnsi="Arial" w:cs="Arial"/>
          <w:b/>
        </w:rPr>
        <w:t>15 per cent</w:t>
      </w:r>
      <w:r>
        <w:rPr>
          <w:rFonts w:ascii="Arial" w:hAnsi="Arial" w:cs="Arial"/>
        </w:rPr>
        <w:t xml:space="preserve"> on the last quarter (1,061,773) with a </w:t>
      </w:r>
      <w:r w:rsidRPr="00AC36E4">
        <w:rPr>
          <w:rFonts w:ascii="Arial" w:hAnsi="Arial" w:cs="Arial"/>
          <w:b/>
        </w:rPr>
        <w:t>25 per cent</w:t>
      </w:r>
      <w:r>
        <w:rPr>
          <w:rFonts w:ascii="Arial" w:hAnsi="Arial" w:cs="Arial"/>
        </w:rPr>
        <w:t xml:space="preserve"> increase in visits (275,048) and </w:t>
      </w:r>
      <w:r w:rsidRPr="00AC36E4">
        <w:rPr>
          <w:rFonts w:ascii="Arial" w:hAnsi="Arial" w:cs="Arial"/>
          <w:b/>
        </w:rPr>
        <w:t>27 per cent</w:t>
      </w:r>
      <w:r>
        <w:rPr>
          <w:rFonts w:ascii="Arial" w:hAnsi="Arial" w:cs="Arial"/>
        </w:rPr>
        <w:t xml:space="preserve"> increase in unique visitors (182,734). </w:t>
      </w:r>
    </w:p>
    <w:p w14:paraId="40DC07C1" w14:textId="77777777" w:rsidR="0089212F" w:rsidRDefault="0089212F" w:rsidP="00026990">
      <w:pPr>
        <w:pStyle w:val="NoSpacing"/>
        <w:ind w:left="360"/>
        <w:rPr>
          <w:rFonts w:ascii="Arial" w:hAnsi="Arial" w:cs="Arial"/>
        </w:rPr>
      </w:pPr>
    </w:p>
    <w:p w14:paraId="40DC07C2" w14:textId="77777777" w:rsidR="0089212F" w:rsidRDefault="0089212F" w:rsidP="00026990">
      <w:pPr>
        <w:pStyle w:val="NoSpacing"/>
        <w:ind w:left="360"/>
        <w:rPr>
          <w:rFonts w:ascii="Arial" w:hAnsi="Arial" w:cs="Arial"/>
        </w:rPr>
      </w:pPr>
      <w:r>
        <w:rPr>
          <w:rFonts w:ascii="Arial" w:hAnsi="Arial" w:cs="Arial"/>
        </w:rPr>
        <w:t xml:space="preserve">A total of </w:t>
      </w:r>
      <w:r w:rsidRPr="00AC36E4">
        <w:rPr>
          <w:rFonts w:ascii="Arial" w:hAnsi="Arial" w:cs="Arial"/>
          <w:b/>
        </w:rPr>
        <w:t>57.8</w:t>
      </w:r>
      <w:r>
        <w:rPr>
          <w:rFonts w:ascii="Arial" w:hAnsi="Arial" w:cs="Arial"/>
        </w:rPr>
        <w:t xml:space="preserve"> </w:t>
      </w:r>
      <w:r w:rsidRPr="00704209">
        <w:rPr>
          <w:rFonts w:ascii="Arial" w:hAnsi="Arial" w:cs="Arial"/>
          <w:b/>
        </w:rPr>
        <w:t>per cent</w:t>
      </w:r>
      <w:r>
        <w:rPr>
          <w:rFonts w:ascii="Arial" w:hAnsi="Arial" w:cs="Arial"/>
        </w:rPr>
        <w:t xml:space="preserve"> of visitors were new to the website.</w:t>
      </w:r>
    </w:p>
    <w:p w14:paraId="40DC07C3" w14:textId="77777777" w:rsidR="00CA0C26" w:rsidRDefault="00CA0C26" w:rsidP="00026990">
      <w:pPr>
        <w:pStyle w:val="NoSpacing"/>
        <w:ind w:left="360"/>
        <w:rPr>
          <w:rFonts w:ascii="Arial" w:hAnsi="Arial" w:cs="Arial"/>
        </w:rPr>
      </w:pPr>
    </w:p>
    <w:p w14:paraId="40DC07C4" w14:textId="77777777" w:rsidR="00CA0C26" w:rsidRPr="00CE3764" w:rsidRDefault="00CA0C26" w:rsidP="00A90B11">
      <w:pPr>
        <w:pStyle w:val="ListParagraph"/>
        <w:numPr>
          <w:ilvl w:val="0"/>
          <w:numId w:val="7"/>
        </w:numPr>
        <w:rPr>
          <w:rFonts w:ascii="Arial" w:hAnsi="Arial" w:cs="Arial"/>
        </w:rPr>
      </w:pPr>
      <w:r w:rsidRPr="00CE3764">
        <w:rPr>
          <w:rFonts w:ascii="Arial" w:hAnsi="Arial" w:cs="Arial"/>
        </w:rPr>
        <w:t>Bulletin subscriptions as at June 2014</w:t>
      </w:r>
    </w:p>
    <w:p w14:paraId="40DC07C5" w14:textId="77777777" w:rsidR="00CA0C26" w:rsidRDefault="00CA0C26" w:rsidP="00CA0C26">
      <w:pPr>
        <w:rPr>
          <w:rFonts w:ascii="Arial" w:hAnsi="Arial" w:cs="Arial"/>
        </w:rPr>
      </w:pPr>
      <w:r w:rsidRPr="004544A6">
        <w:rPr>
          <w:rFonts w:ascii="Arial" w:hAnsi="Arial" w:cs="Arial"/>
        </w:rPr>
        <w:t>Subscriptions went up for all bulletins</w:t>
      </w:r>
      <w:r>
        <w:rPr>
          <w:rFonts w:ascii="Arial" w:hAnsi="Arial" w:cs="Arial"/>
        </w:rPr>
        <w:t xml:space="preserve"> with Workforce, Research and Environment and Housing receiving the highest increase.</w:t>
      </w:r>
    </w:p>
    <w:p w14:paraId="40DC07C6" w14:textId="77777777" w:rsidR="00CA0C26" w:rsidRPr="004544A6" w:rsidRDefault="00CA0C26" w:rsidP="00CA0C26">
      <w:pPr>
        <w:rPr>
          <w:rFonts w:ascii="Arial" w:hAnsi="Arial" w:cs="Arial"/>
        </w:rPr>
      </w:pPr>
    </w:p>
    <w:p w14:paraId="40DC07C7" w14:textId="77777777" w:rsidR="00CA0C26" w:rsidRDefault="00CA0C26" w:rsidP="00CA0C26">
      <w:r>
        <w:rPr>
          <w:noProof/>
          <w:lang w:eastAsia="en-GB"/>
        </w:rPr>
        <w:drawing>
          <wp:inline distT="0" distB="0" distL="0" distR="0" wp14:anchorId="40DC07E2" wp14:editId="40DC07E3">
            <wp:extent cx="5743575" cy="26289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DC07C8" w14:textId="77777777" w:rsidR="00CA0C26" w:rsidRDefault="00CA0C26" w:rsidP="00CA0C26">
      <w:pPr>
        <w:pStyle w:val="Default"/>
        <w:rPr>
          <w:sz w:val="18"/>
          <w:szCs w:val="18"/>
        </w:rPr>
      </w:pPr>
      <w:r>
        <w:rPr>
          <w:sz w:val="18"/>
          <w:szCs w:val="18"/>
        </w:rPr>
        <w:t xml:space="preserve">Notes: </w:t>
      </w:r>
    </w:p>
    <w:p w14:paraId="40DC07C9" w14:textId="77777777" w:rsidR="00CA0C26" w:rsidRDefault="00CA0C26" w:rsidP="00CA0C26">
      <w:pPr>
        <w:pStyle w:val="Default"/>
        <w:rPr>
          <w:sz w:val="18"/>
          <w:szCs w:val="18"/>
        </w:rPr>
      </w:pPr>
      <w:r>
        <w:rPr>
          <w:sz w:val="18"/>
          <w:szCs w:val="18"/>
        </w:rPr>
        <w:t xml:space="preserve">(1) Localism and Economy and Transport e-bulletins are relatively new and the percentage increase month-on month is amongst the highest. </w:t>
      </w:r>
    </w:p>
    <w:p w14:paraId="40DC07CA" w14:textId="77777777" w:rsidR="00CA0C26" w:rsidRPr="004544A6" w:rsidRDefault="00CA0C26" w:rsidP="00CA0C26">
      <w:pPr>
        <w:pStyle w:val="Default"/>
        <w:rPr>
          <w:sz w:val="18"/>
          <w:szCs w:val="18"/>
        </w:rPr>
      </w:pPr>
      <w:r>
        <w:rPr>
          <w:sz w:val="18"/>
          <w:szCs w:val="18"/>
        </w:rPr>
        <w:t xml:space="preserve">(2) The Improvement e-bulletin is an amalgamation of several previous e-bulletins that existed before the rationalisation, hence the large subscriber numbers. </w:t>
      </w:r>
    </w:p>
    <w:p w14:paraId="40DC07CB" w14:textId="77777777" w:rsidR="00CA0C26" w:rsidRDefault="00CA0C26" w:rsidP="00026990">
      <w:pPr>
        <w:pStyle w:val="NoSpacing"/>
        <w:ind w:left="360"/>
        <w:rPr>
          <w:rFonts w:ascii="Arial" w:hAnsi="Arial" w:cs="Arial"/>
        </w:rPr>
      </w:pPr>
    </w:p>
    <w:p w14:paraId="40DC07CC" w14:textId="77777777" w:rsidR="0089212F" w:rsidRDefault="0089212F" w:rsidP="00026990">
      <w:pPr>
        <w:pStyle w:val="NoSpacing"/>
        <w:ind w:left="360"/>
        <w:rPr>
          <w:rFonts w:ascii="Arial" w:hAnsi="Arial" w:cs="Arial"/>
        </w:rPr>
      </w:pPr>
    </w:p>
    <w:p w14:paraId="40DC07CD" w14:textId="77777777" w:rsidR="0026098E" w:rsidRPr="00026990" w:rsidRDefault="0026098E" w:rsidP="00026990">
      <w:pPr>
        <w:pStyle w:val="NoSpacing"/>
        <w:ind w:left="360"/>
        <w:rPr>
          <w:rFonts w:ascii="Arial" w:hAnsi="Arial" w:cs="Arial"/>
        </w:rPr>
      </w:pPr>
    </w:p>
    <w:sectPr w:rsidR="0026098E" w:rsidRPr="00026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6D3"/>
    <w:multiLevelType w:val="hybridMultilevel"/>
    <w:tmpl w:val="946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C32A5"/>
    <w:multiLevelType w:val="hybridMultilevel"/>
    <w:tmpl w:val="A8789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D22D3"/>
    <w:multiLevelType w:val="hybridMultilevel"/>
    <w:tmpl w:val="A8789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3007D"/>
    <w:multiLevelType w:val="hybridMultilevel"/>
    <w:tmpl w:val="2F948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951EC2"/>
    <w:multiLevelType w:val="hybridMultilevel"/>
    <w:tmpl w:val="7AA23BB8"/>
    <w:lvl w:ilvl="0" w:tplc="DCFE923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DC604F"/>
    <w:multiLevelType w:val="hybridMultilevel"/>
    <w:tmpl w:val="1D2E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140261"/>
    <w:multiLevelType w:val="hybridMultilevel"/>
    <w:tmpl w:val="F28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C7D18"/>
    <w:multiLevelType w:val="hybridMultilevel"/>
    <w:tmpl w:val="C63A4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A0"/>
    <w:rsid w:val="00012FB7"/>
    <w:rsid w:val="00017624"/>
    <w:rsid w:val="00026990"/>
    <w:rsid w:val="000E3A1A"/>
    <w:rsid w:val="001150E4"/>
    <w:rsid w:val="00142BA4"/>
    <w:rsid w:val="001924B1"/>
    <w:rsid w:val="001E1A37"/>
    <w:rsid w:val="001E645A"/>
    <w:rsid w:val="001E7989"/>
    <w:rsid w:val="00200694"/>
    <w:rsid w:val="00227BBD"/>
    <w:rsid w:val="00227F50"/>
    <w:rsid w:val="0026098E"/>
    <w:rsid w:val="0027527E"/>
    <w:rsid w:val="00276D09"/>
    <w:rsid w:val="00295A71"/>
    <w:rsid w:val="002C543E"/>
    <w:rsid w:val="002C5F2A"/>
    <w:rsid w:val="003228A0"/>
    <w:rsid w:val="004132C0"/>
    <w:rsid w:val="004E3A55"/>
    <w:rsid w:val="00585BD1"/>
    <w:rsid w:val="005A0574"/>
    <w:rsid w:val="005C1E1F"/>
    <w:rsid w:val="005E04D1"/>
    <w:rsid w:val="005E62C1"/>
    <w:rsid w:val="005F768B"/>
    <w:rsid w:val="006548F2"/>
    <w:rsid w:val="0066270E"/>
    <w:rsid w:val="00681F1B"/>
    <w:rsid w:val="006A3760"/>
    <w:rsid w:val="00704209"/>
    <w:rsid w:val="00713CC6"/>
    <w:rsid w:val="007208E3"/>
    <w:rsid w:val="00741DA8"/>
    <w:rsid w:val="007537C2"/>
    <w:rsid w:val="00767A04"/>
    <w:rsid w:val="00791777"/>
    <w:rsid w:val="007C3682"/>
    <w:rsid w:val="007C3D77"/>
    <w:rsid w:val="007C41BE"/>
    <w:rsid w:val="007E738C"/>
    <w:rsid w:val="00837FCC"/>
    <w:rsid w:val="008550FD"/>
    <w:rsid w:val="0086540D"/>
    <w:rsid w:val="00890FD2"/>
    <w:rsid w:val="0089212F"/>
    <w:rsid w:val="008A3072"/>
    <w:rsid w:val="008D08B8"/>
    <w:rsid w:val="009D5BA0"/>
    <w:rsid w:val="00A35D00"/>
    <w:rsid w:val="00A53B5E"/>
    <w:rsid w:val="00A90B11"/>
    <w:rsid w:val="00AC36E4"/>
    <w:rsid w:val="00AD1A91"/>
    <w:rsid w:val="00AE066D"/>
    <w:rsid w:val="00B81868"/>
    <w:rsid w:val="00B837D7"/>
    <w:rsid w:val="00BE3768"/>
    <w:rsid w:val="00C4411E"/>
    <w:rsid w:val="00C65066"/>
    <w:rsid w:val="00CA0C26"/>
    <w:rsid w:val="00CD662E"/>
    <w:rsid w:val="00CE3764"/>
    <w:rsid w:val="00D67B0C"/>
    <w:rsid w:val="00D81679"/>
    <w:rsid w:val="00D846A0"/>
    <w:rsid w:val="00DC25F1"/>
    <w:rsid w:val="00DD6216"/>
    <w:rsid w:val="00E178E1"/>
    <w:rsid w:val="00E2377C"/>
    <w:rsid w:val="00E44465"/>
    <w:rsid w:val="00E71248"/>
    <w:rsid w:val="00EE3B95"/>
    <w:rsid w:val="00F15EE2"/>
    <w:rsid w:val="00F35C63"/>
    <w:rsid w:val="00F44898"/>
    <w:rsid w:val="00FA23AD"/>
    <w:rsid w:val="00F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6A0"/>
    <w:pPr>
      <w:spacing w:after="0" w:line="240" w:lineRule="auto"/>
    </w:pPr>
  </w:style>
  <w:style w:type="table" w:styleId="TableGrid">
    <w:name w:val="Table Grid"/>
    <w:basedOn w:val="TableNormal"/>
    <w:uiPriority w:val="59"/>
    <w:rsid w:val="00D8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6A0"/>
    <w:rPr>
      <w:color w:val="0000FF" w:themeColor="hyperlink"/>
      <w:u w:val="single"/>
    </w:rPr>
  </w:style>
  <w:style w:type="paragraph" w:styleId="ListParagraph">
    <w:name w:val="List Paragraph"/>
    <w:basedOn w:val="Normal"/>
    <w:uiPriority w:val="34"/>
    <w:qFormat/>
    <w:rsid w:val="00D846A0"/>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81F1B"/>
    <w:rPr>
      <w:rFonts w:ascii="Tahoma" w:hAnsi="Tahoma" w:cs="Tahoma"/>
      <w:sz w:val="16"/>
      <w:szCs w:val="16"/>
    </w:rPr>
  </w:style>
  <w:style w:type="character" w:customStyle="1" w:styleId="BalloonTextChar">
    <w:name w:val="Balloon Text Char"/>
    <w:basedOn w:val="DefaultParagraphFont"/>
    <w:link w:val="BalloonText"/>
    <w:uiPriority w:val="99"/>
    <w:semiHidden/>
    <w:rsid w:val="00681F1B"/>
    <w:rPr>
      <w:rFonts w:ascii="Tahoma" w:hAnsi="Tahoma" w:cs="Tahoma"/>
      <w:sz w:val="16"/>
      <w:szCs w:val="16"/>
    </w:rPr>
  </w:style>
  <w:style w:type="paragraph" w:customStyle="1" w:styleId="Default">
    <w:name w:val="Default"/>
    <w:rsid w:val="00CA0C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A90B11"/>
  </w:style>
  <w:style w:type="paragraph" w:styleId="PlainText">
    <w:name w:val="Plain Text"/>
    <w:basedOn w:val="Normal"/>
    <w:link w:val="PlainTextChar"/>
    <w:uiPriority w:val="99"/>
    <w:unhideWhenUsed/>
    <w:rsid w:val="00A90B11"/>
    <w:rPr>
      <w:rFonts w:ascii="Arial" w:hAnsi="Arial" w:cs="Arial"/>
    </w:rPr>
  </w:style>
  <w:style w:type="character" w:customStyle="1" w:styleId="PlainTextChar">
    <w:name w:val="Plain Text Char"/>
    <w:basedOn w:val="DefaultParagraphFont"/>
    <w:link w:val="PlainText"/>
    <w:uiPriority w:val="99"/>
    <w:rsid w:val="00A90B11"/>
    <w:rPr>
      <w:rFonts w:ascii="Arial" w:hAnsi="Arial" w:cs="Arial"/>
    </w:rPr>
  </w:style>
  <w:style w:type="character" w:styleId="Strong">
    <w:name w:val="Strong"/>
    <w:basedOn w:val="DefaultParagraphFont"/>
    <w:uiPriority w:val="22"/>
    <w:qFormat/>
    <w:rsid w:val="00A90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6A0"/>
    <w:pPr>
      <w:spacing w:after="0" w:line="240" w:lineRule="auto"/>
    </w:pPr>
  </w:style>
  <w:style w:type="table" w:styleId="TableGrid">
    <w:name w:val="Table Grid"/>
    <w:basedOn w:val="TableNormal"/>
    <w:uiPriority w:val="59"/>
    <w:rsid w:val="00D8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6A0"/>
    <w:rPr>
      <w:color w:val="0000FF" w:themeColor="hyperlink"/>
      <w:u w:val="single"/>
    </w:rPr>
  </w:style>
  <w:style w:type="paragraph" w:styleId="ListParagraph">
    <w:name w:val="List Paragraph"/>
    <w:basedOn w:val="Normal"/>
    <w:uiPriority w:val="34"/>
    <w:qFormat/>
    <w:rsid w:val="00D846A0"/>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81F1B"/>
    <w:rPr>
      <w:rFonts w:ascii="Tahoma" w:hAnsi="Tahoma" w:cs="Tahoma"/>
      <w:sz w:val="16"/>
      <w:szCs w:val="16"/>
    </w:rPr>
  </w:style>
  <w:style w:type="character" w:customStyle="1" w:styleId="BalloonTextChar">
    <w:name w:val="Balloon Text Char"/>
    <w:basedOn w:val="DefaultParagraphFont"/>
    <w:link w:val="BalloonText"/>
    <w:uiPriority w:val="99"/>
    <w:semiHidden/>
    <w:rsid w:val="00681F1B"/>
    <w:rPr>
      <w:rFonts w:ascii="Tahoma" w:hAnsi="Tahoma" w:cs="Tahoma"/>
      <w:sz w:val="16"/>
      <w:szCs w:val="16"/>
    </w:rPr>
  </w:style>
  <w:style w:type="paragraph" w:customStyle="1" w:styleId="Default">
    <w:name w:val="Default"/>
    <w:rsid w:val="00CA0C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A90B11"/>
  </w:style>
  <w:style w:type="paragraph" w:styleId="PlainText">
    <w:name w:val="Plain Text"/>
    <w:basedOn w:val="Normal"/>
    <w:link w:val="PlainTextChar"/>
    <w:uiPriority w:val="99"/>
    <w:unhideWhenUsed/>
    <w:rsid w:val="00A90B11"/>
    <w:rPr>
      <w:rFonts w:ascii="Arial" w:hAnsi="Arial" w:cs="Arial"/>
    </w:rPr>
  </w:style>
  <w:style w:type="character" w:customStyle="1" w:styleId="PlainTextChar">
    <w:name w:val="Plain Text Char"/>
    <w:basedOn w:val="DefaultParagraphFont"/>
    <w:link w:val="PlainText"/>
    <w:uiPriority w:val="99"/>
    <w:rsid w:val="00A90B11"/>
    <w:rPr>
      <w:rFonts w:ascii="Arial" w:hAnsi="Arial" w:cs="Arial"/>
    </w:rPr>
  </w:style>
  <w:style w:type="character" w:styleId="Strong">
    <w:name w:val="Strong"/>
    <w:basedOn w:val="DefaultParagraphFont"/>
    <w:uiPriority w:val="22"/>
    <w:qFormat/>
    <w:rsid w:val="00A9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7" Type="http://schemas.openxmlformats.org/officeDocument/2006/relationships/hyperlink" Target="mailto:David.holdstock@local.gov.uk"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lga.lgorgs.local\dfs\LGA\Digital%20Communications%20and%20Knowledge\Team\Strategy%20-%20Knowledge%20and%20learning\Projects\Contact%20Programme\Stats\E-bulletin%20corporate%20reporting_incrementa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mentions</a:t>
            </a:r>
            <a:endParaRPr lang="en-GB"/>
          </a:p>
        </c:rich>
      </c:tx>
      <c:layout>
        <c:manualLayout>
          <c:xMode val="edge"/>
          <c:yMode val="edge"/>
          <c:x val="0.28414351851851855"/>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2012</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formatCode="#,##0">
                  <c:v>1364</c:v>
                </c:pt>
                <c:pt idx="1">
                  <c:v>2176</c:v>
                </c:pt>
                <c:pt idx="2">
                  <c:v>2008</c:v>
                </c:pt>
                <c:pt idx="3">
                  <c:v>1547</c:v>
                </c:pt>
                <c:pt idx="4">
                  <c:v>1816</c:v>
                </c:pt>
                <c:pt idx="5">
                  <c:v>1816</c:v>
                </c:pt>
                <c:pt idx="6">
                  <c:v>1476</c:v>
                </c:pt>
                <c:pt idx="7">
                  <c:v>1167</c:v>
                </c:pt>
                <c:pt idx="8">
                  <c:v>1146</c:v>
                </c:pt>
                <c:pt idx="9">
                  <c:v>2398</c:v>
                </c:pt>
                <c:pt idx="10">
                  <c:v>1135</c:v>
                </c:pt>
                <c:pt idx="11">
                  <c:v>1438</c:v>
                </c:pt>
              </c:numCache>
            </c:numRef>
          </c:val>
          <c:smooth val="0"/>
        </c:ser>
        <c:ser>
          <c:idx val="1"/>
          <c:order val="1"/>
          <c:tx>
            <c:strRef>
              <c:f>Sheet1!$C$1</c:f>
              <c:strCache>
                <c:ptCount val="1"/>
                <c:pt idx="0">
                  <c:v>Mentions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1381</c:v>
                </c:pt>
                <c:pt idx="1">
                  <c:v>2341</c:v>
                </c:pt>
                <c:pt idx="2">
                  <c:v>1678</c:v>
                </c:pt>
                <c:pt idx="3">
                  <c:v>927</c:v>
                </c:pt>
                <c:pt idx="4">
                  <c:v>1924</c:v>
                </c:pt>
                <c:pt idx="5">
                  <c:v>1878</c:v>
                </c:pt>
                <c:pt idx="6">
                  <c:v>1483</c:v>
                </c:pt>
                <c:pt idx="7">
                  <c:v>2037</c:v>
                </c:pt>
                <c:pt idx="8">
                  <c:v>2418</c:v>
                </c:pt>
                <c:pt idx="9">
                  <c:v>2440</c:v>
                </c:pt>
                <c:pt idx="10">
                  <c:v>1836</c:v>
                </c:pt>
                <c:pt idx="11">
                  <c:v>2287</c:v>
                </c:pt>
              </c:numCache>
            </c:numRef>
          </c:val>
          <c:smooth val="0"/>
        </c:ser>
        <c:ser>
          <c:idx val="2"/>
          <c:order val="2"/>
          <c:tx>
            <c:strRef>
              <c:f>Sheet1!$D$1</c:f>
              <c:strCache>
                <c:ptCount val="1"/>
                <c:pt idx="0">
                  <c:v>Mentions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4937</c:v>
                </c:pt>
                <c:pt idx="1">
                  <c:v>5920</c:v>
                </c:pt>
                <c:pt idx="2">
                  <c:v>2616</c:v>
                </c:pt>
                <c:pt idx="3">
                  <c:v>1085</c:v>
                </c:pt>
                <c:pt idx="4">
                  <c:v>1354</c:v>
                </c:pt>
                <c:pt idx="5">
                  <c:v>1860</c:v>
                </c:pt>
              </c:numCache>
            </c:numRef>
          </c:val>
          <c:smooth val="0"/>
        </c:ser>
        <c:dLbls>
          <c:showLegendKey val="0"/>
          <c:showVal val="0"/>
          <c:showCatName val="0"/>
          <c:showSerName val="0"/>
          <c:showPercent val="0"/>
          <c:showBubbleSize val="0"/>
        </c:dLbls>
        <c:marker val="1"/>
        <c:smooth val="0"/>
        <c:axId val="144093184"/>
        <c:axId val="154380544"/>
      </c:lineChart>
      <c:catAx>
        <c:axId val="144093184"/>
        <c:scaling>
          <c:orientation val="minMax"/>
        </c:scaling>
        <c:delete val="0"/>
        <c:axPos val="b"/>
        <c:majorTickMark val="none"/>
        <c:minorTickMark val="none"/>
        <c:tickLblPos val="nextTo"/>
        <c:crossAx val="154380544"/>
        <c:crosses val="autoZero"/>
        <c:auto val="1"/>
        <c:lblAlgn val="ctr"/>
        <c:lblOffset val="100"/>
        <c:noMultiLvlLbl val="0"/>
      </c:catAx>
      <c:valAx>
        <c:axId val="154380544"/>
        <c:scaling>
          <c:orientation val="minMax"/>
        </c:scaling>
        <c:delete val="0"/>
        <c:axPos val="l"/>
        <c:majorGridlines/>
        <c:numFmt formatCode="#,##0" sourceLinked="1"/>
        <c:majorTickMark val="none"/>
        <c:minorTickMark val="none"/>
        <c:tickLblPos val="nextTo"/>
        <c:crossAx val="1440931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Balance</a:t>
            </a:r>
            <a:r>
              <a:rPr lang="en-GB" baseline="0"/>
              <a:t> of coverage by portfolio</a:t>
            </a:r>
            <a:endParaRPr lang="en-GB"/>
          </a:p>
        </c:rich>
      </c:tx>
      <c:layout>
        <c:manualLayout>
          <c:xMode val="edge"/>
          <c:yMode val="edge"/>
          <c:x val="0.20535244922341697"/>
          <c:y val="0"/>
        </c:manualLayout>
      </c:layout>
      <c:overlay val="0"/>
    </c:title>
    <c:autoTitleDeleted val="0"/>
    <c:plotArea>
      <c:layout>
        <c:manualLayout>
          <c:layoutTarget val="inner"/>
          <c:xMode val="edge"/>
          <c:yMode val="edge"/>
          <c:x val="0.1436220472440945"/>
          <c:y val="0.15062817147856519"/>
          <c:w val="0.81934091571886847"/>
          <c:h val="0.63859621895089203"/>
        </c:manualLayout>
      </c:layout>
      <c:barChart>
        <c:barDir val="col"/>
        <c:grouping val="stacked"/>
        <c:varyColors val="0"/>
        <c:ser>
          <c:idx val="0"/>
          <c:order val="0"/>
          <c:tx>
            <c:strRef>
              <c:f>Sheet1!$B$1</c:f>
              <c:strCache>
                <c:ptCount val="1"/>
                <c:pt idx="0">
                  <c:v>Positive</c:v>
                </c:pt>
              </c:strCache>
            </c:strRef>
          </c:tx>
          <c:invertIfNegative val="0"/>
          <c:cat>
            <c:strRef>
              <c:f>Sheet1!$A$2:$A$11</c:f>
              <c:strCache>
                <c:ptCount val="10"/>
                <c:pt idx="0">
                  <c:v>CYP</c:v>
                </c:pt>
                <c:pt idx="1">
                  <c:v>CS</c:v>
                </c:pt>
                <c:pt idx="2">
                  <c:v>CWB</c:v>
                </c:pt>
                <c:pt idx="3">
                  <c:v>CTS</c:v>
                </c:pt>
                <c:pt idx="4">
                  <c:v>E&amp;T</c:v>
                </c:pt>
                <c:pt idx="5">
                  <c:v>EHP</c:v>
                </c:pt>
                <c:pt idx="6">
                  <c:v>FIN</c:v>
                </c:pt>
                <c:pt idx="7">
                  <c:v>IMP</c:v>
                </c:pt>
                <c:pt idx="8">
                  <c:v>LOCALISM</c:v>
                </c:pt>
                <c:pt idx="9">
                  <c:v>WORK</c:v>
                </c:pt>
              </c:strCache>
            </c:strRef>
          </c:cat>
          <c:val>
            <c:numRef>
              <c:f>Sheet1!$B$2:$B$11</c:f>
              <c:numCache>
                <c:formatCode>General</c:formatCode>
                <c:ptCount val="10"/>
                <c:pt idx="0">
                  <c:v>47</c:v>
                </c:pt>
                <c:pt idx="1">
                  <c:v>26</c:v>
                </c:pt>
                <c:pt idx="2">
                  <c:v>28</c:v>
                </c:pt>
                <c:pt idx="3">
                  <c:v>5</c:v>
                </c:pt>
                <c:pt idx="4">
                  <c:v>41</c:v>
                </c:pt>
                <c:pt idx="5">
                  <c:v>22</c:v>
                </c:pt>
                <c:pt idx="6">
                  <c:v>21</c:v>
                </c:pt>
                <c:pt idx="7">
                  <c:v>11</c:v>
                </c:pt>
                <c:pt idx="8">
                  <c:v>12</c:v>
                </c:pt>
                <c:pt idx="9">
                  <c:v>3</c:v>
                </c:pt>
              </c:numCache>
            </c:numRef>
          </c:val>
        </c:ser>
        <c:ser>
          <c:idx val="1"/>
          <c:order val="1"/>
          <c:tx>
            <c:strRef>
              <c:f>Sheet1!$C$1</c:f>
              <c:strCache>
                <c:ptCount val="1"/>
                <c:pt idx="0">
                  <c:v>Negative</c:v>
                </c:pt>
              </c:strCache>
            </c:strRef>
          </c:tx>
          <c:invertIfNegative val="0"/>
          <c:cat>
            <c:strRef>
              <c:f>Sheet1!$A$2:$A$11</c:f>
              <c:strCache>
                <c:ptCount val="10"/>
                <c:pt idx="0">
                  <c:v>CYP</c:v>
                </c:pt>
                <c:pt idx="1">
                  <c:v>CS</c:v>
                </c:pt>
                <c:pt idx="2">
                  <c:v>CWB</c:v>
                </c:pt>
                <c:pt idx="3">
                  <c:v>CTS</c:v>
                </c:pt>
                <c:pt idx="4">
                  <c:v>E&amp;T</c:v>
                </c:pt>
                <c:pt idx="5">
                  <c:v>EHP</c:v>
                </c:pt>
                <c:pt idx="6">
                  <c:v>FIN</c:v>
                </c:pt>
                <c:pt idx="7">
                  <c:v>IMP</c:v>
                </c:pt>
                <c:pt idx="8">
                  <c:v>LOCALISM</c:v>
                </c:pt>
                <c:pt idx="9">
                  <c:v>WORK</c:v>
                </c:pt>
              </c:strCache>
            </c:strRef>
          </c:cat>
          <c:val>
            <c:numRef>
              <c:f>Sheet1!$C$2:$C$11</c:f>
              <c:numCache>
                <c:formatCode>General</c:formatCode>
                <c:ptCount val="10"/>
                <c:pt idx="0">
                  <c:v>4</c:v>
                </c:pt>
                <c:pt idx="1">
                  <c:v>0</c:v>
                </c:pt>
                <c:pt idx="2">
                  <c:v>5</c:v>
                </c:pt>
                <c:pt idx="3">
                  <c:v>1</c:v>
                </c:pt>
                <c:pt idx="4">
                  <c:v>41</c:v>
                </c:pt>
                <c:pt idx="5">
                  <c:v>3</c:v>
                </c:pt>
                <c:pt idx="6">
                  <c:v>1</c:v>
                </c:pt>
                <c:pt idx="7">
                  <c:v>1</c:v>
                </c:pt>
                <c:pt idx="8">
                  <c:v>0</c:v>
                </c:pt>
                <c:pt idx="9">
                  <c:v>13</c:v>
                </c:pt>
              </c:numCache>
            </c:numRef>
          </c:val>
        </c:ser>
        <c:dLbls>
          <c:showLegendKey val="0"/>
          <c:showVal val="0"/>
          <c:showCatName val="0"/>
          <c:showSerName val="0"/>
          <c:showPercent val="0"/>
          <c:showBubbleSize val="0"/>
        </c:dLbls>
        <c:gapWidth val="95"/>
        <c:overlap val="100"/>
        <c:axId val="154401792"/>
        <c:axId val="36569856"/>
      </c:barChart>
      <c:catAx>
        <c:axId val="154401792"/>
        <c:scaling>
          <c:orientation val="minMax"/>
        </c:scaling>
        <c:delete val="0"/>
        <c:axPos val="b"/>
        <c:majorTickMark val="none"/>
        <c:minorTickMark val="none"/>
        <c:tickLblPos val="nextTo"/>
        <c:crossAx val="36569856"/>
        <c:crosses val="autoZero"/>
        <c:auto val="1"/>
        <c:lblAlgn val="ctr"/>
        <c:lblOffset val="100"/>
        <c:noMultiLvlLbl val="0"/>
      </c:catAx>
      <c:valAx>
        <c:axId val="36569856"/>
        <c:scaling>
          <c:orientation val="minMax"/>
        </c:scaling>
        <c:delete val="1"/>
        <c:axPos val="l"/>
        <c:majorGridlines/>
        <c:numFmt formatCode="General" sourceLinked="0"/>
        <c:majorTickMark val="none"/>
        <c:minorTickMark val="none"/>
        <c:tickLblPos val="nextTo"/>
        <c:crossAx val="1544017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Engine!$A$128:$A$140</c:f>
              <c:strCache>
                <c:ptCount val="13"/>
                <c:pt idx="0">
                  <c:v>Children and young people</c:v>
                </c:pt>
                <c:pt idx="1">
                  <c:v>Community safety, policing and fire service</c:v>
                </c:pt>
                <c:pt idx="2">
                  <c:v>Culture, tourism and sport</c:v>
                </c:pt>
                <c:pt idx="3">
                  <c:v>Economy and transport</c:v>
                </c:pt>
                <c:pt idx="4">
                  <c:v>Environment, housing and planning</c:v>
                </c:pt>
                <c:pt idx="5">
                  <c:v>European and international</c:v>
                </c:pt>
                <c:pt idx="6">
                  <c:v>Finance</c:v>
                </c:pt>
                <c:pt idx="7">
                  <c:v>Health, adult social care and ageing</c:v>
                </c:pt>
                <c:pt idx="8">
                  <c:v>Improvement</c:v>
                </c:pt>
                <c:pt idx="9">
                  <c:v>Localism</c:v>
                </c:pt>
                <c:pt idx="10">
                  <c:v>Research</c:v>
                </c:pt>
                <c:pt idx="11">
                  <c:v>Statistical alert</c:v>
                </c:pt>
                <c:pt idx="12">
                  <c:v>Workforce</c:v>
                </c:pt>
              </c:strCache>
            </c:strRef>
          </c:cat>
          <c:val>
            <c:numRef>
              <c:f>Engine!$M$128:$M$140</c:f>
              <c:numCache>
                <c:formatCode>0</c:formatCode>
                <c:ptCount val="13"/>
                <c:pt idx="0">
                  <c:v>17661</c:v>
                </c:pt>
                <c:pt idx="1">
                  <c:v>6632</c:v>
                </c:pt>
                <c:pt idx="2">
                  <c:v>3713</c:v>
                </c:pt>
                <c:pt idx="3">
                  <c:v>931</c:v>
                </c:pt>
                <c:pt idx="4">
                  <c:v>8791</c:v>
                </c:pt>
                <c:pt idx="5">
                  <c:v>4650</c:v>
                </c:pt>
                <c:pt idx="6">
                  <c:v>5845</c:v>
                </c:pt>
                <c:pt idx="7">
                  <c:v>15536</c:v>
                </c:pt>
                <c:pt idx="8">
                  <c:v>34142</c:v>
                </c:pt>
                <c:pt idx="9">
                  <c:v>5255</c:v>
                </c:pt>
                <c:pt idx="10">
                  <c:v>14388</c:v>
                </c:pt>
                <c:pt idx="11">
                  <c:v>5516</c:v>
                </c:pt>
                <c:pt idx="12">
                  <c:v>26927</c:v>
                </c:pt>
              </c:numCache>
            </c:numRef>
          </c:val>
        </c:ser>
        <c:dLbls>
          <c:showLegendKey val="0"/>
          <c:showVal val="0"/>
          <c:showCatName val="0"/>
          <c:showSerName val="0"/>
          <c:showPercent val="0"/>
          <c:showBubbleSize val="0"/>
        </c:dLbls>
        <c:gapWidth val="150"/>
        <c:axId val="36587392"/>
        <c:axId val="36588928"/>
      </c:barChart>
      <c:catAx>
        <c:axId val="36587392"/>
        <c:scaling>
          <c:orientation val="minMax"/>
        </c:scaling>
        <c:delete val="0"/>
        <c:axPos val="l"/>
        <c:numFmt formatCode="General" sourceLinked="1"/>
        <c:majorTickMark val="out"/>
        <c:minorTickMark val="none"/>
        <c:tickLblPos val="nextTo"/>
        <c:txPr>
          <a:bodyPr rot="0" vert="horz"/>
          <a:lstStyle/>
          <a:p>
            <a:pPr>
              <a:defRPr/>
            </a:pPr>
            <a:endParaRPr lang="en-US"/>
          </a:p>
        </c:txPr>
        <c:crossAx val="36588928"/>
        <c:crosses val="autoZero"/>
        <c:auto val="1"/>
        <c:lblAlgn val="ctr"/>
        <c:lblOffset val="100"/>
        <c:noMultiLvlLbl val="0"/>
      </c:catAx>
      <c:valAx>
        <c:axId val="36588928"/>
        <c:scaling>
          <c:orientation val="minMax"/>
          <c:max val="35000"/>
        </c:scaling>
        <c:delete val="0"/>
        <c:axPos val="b"/>
        <c:majorGridlines/>
        <c:numFmt formatCode="#,##0" sourceLinked="0"/>
        <c:majorTickMark val="out"/>
        <c:minorTickMark val="none"/>
        <c:tickLblPos val="nextTo"/>
        <c:txPr>
          <a:bodyPr rot="0" vert="horz"/>
          <a:lstStyle/>
          <a:p>
            <a:pPr>
              <a:defRPr/>
            </a:pPr>
            <a:endParaRPr lang="en-US"/>
          </a:p>
        </c:txPr>
        <c:crossAx val="36587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mentions</a:t>
            </a:r>
          </a:p>
        </c:rich>
      </c:tx>
      <c:layout/>
      <c:overlay val="0"/>
    </c:title>
    <c:autoTitleDeleted val="0"/>
    <c:plotArea>
      <c:layout/>
      <c:lineChart>
        <c:grouping val="standard"/>
        <c:varyColors val="0"/>
        <c:ser>
          <c:idx val="0"/>
          <c:order val="0"/>
          <c:tx>
            <c:strRef>
              <c:f>Sheet1!$B$1</c:f>
              <c:strCache>
                <c:ptCount val="1"/>
                <c:pt idx="0">
                  <c:v>National 2012</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35</c:v>
                </c:pt>
                <c:pt idx="1">
                  <c:v>43</c:v>
                </c:pt>
                <c:pt idx="2">
                  <c:v>30</c:v>
                </c:pt>
                <c:pt idx="3">
                  <c:v>38</c:v>
                </c:pt>
                <c:pt idx="4">
                  <c:v>36</c:v>
                </c:pt>
                <c:pt idx="5">
                  <c:v>31</c:v>
                </c:pt>
                <c:pt idx="6">
                  <c:v>24</c:v>
                </c:pt>
                <c:pt idx="7">
                  <c:v>35</c:v>
                </c:pt>
                <c:pt idx="8">
                  <c:v>42</c:v>
                </c:pt>
                <c:pt idx="9">
                  <c:v>39</c:v>
                </c:pt>
                <c:pt idx="10">
                  <c:v>44</c:v>
                </c:pt>
                <c:pt idx="11">
                  <c:v>44</c:v>
                </c:pt>
              </c:numCache>
            </c:numRef>
          </c:val>
          <c:smooth val="0"/>
        </c:ser>
        <c:ser>
          <c:idx val="1"/>
          <c:order val="1"/>
          <c:tx>
            <c:strRef>
              <c:f>Sheet1!$C$1</c:f>
              <c:strCache>
                <c:ptCount val="1"/>
                <c:pt idx="0">
                  <c:v>National 2013</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55</c:v>
                </c:pt>
                <c:pt idx="1">
                  <c:v>65</c:v>
                </c:pt>
                <c:pt idx="2">
                  <c:v>83</c:v>
                </c:pt>
                <c:pt idx="3">
                  <c:v>72</c:v>
                </c:pt>
                <c:pt idx="4">
                  <c:v>111</c:v>
                </c:pt>
                <c:pt idx="5">
                  <c:v>123</c:v>
                </c:pt>
                <c:pt idx="6">
                  <c:v>85</c:v>
                </c:pt>
                <c:pt idx="7">
                  <c:v>113</c:v>
                </c:pt>
                <c:pt idx="8">
                  <c:v>107</c:v>
                </c:pt>
                <c:pt idx="9">
                  <c:v>84</c:v>
                </c:pt>
                <c:pt idx="10">
                  <c:v>84</c:v>
                </c:pt>
                <c:pt idx="11">
                  <c:v>85</c:v>
                </c:pt>
              </c:numCache>
            </c:numRef>
          </c:val>
          <c:smooth val="0"/>
        </c:ser>
        <c:ser>
          <c:idx val="2"/>
          <c:order val="2"/>
          <c:tx>
            <c:strRef>
              <c:f>Sheet1!$D$1</c:f>
              <c:strCache>
                <c:ptCount val="1"/>
                <c:pt idx="0">
                  <c:v>National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129</c:v>
                </c:pt>
                <c:pt idx="1">
                  <c:v>106</c:v>
                </c:pt>
                <c:pt idx="2">
                  <c:v>145</c:v>
                </c:pt>
                <c:pt idx="3">
                  <c:v>89</c:v>
                </c:pt>
                <c:pt idx="4">
                  <c:v>89</c:v>
                </c:pt>
                <c:pt idx="5">
                  <c:v>117</c:v>
                </c:pt>
              </c:numCache>
            </c:numRef>
          </c:val>
          <c:smooth val="0"/>
        </c:ser>
        <c:dLbls>
          <c:showLegendKey val="0"/>
          <c:showVal val="0"/>
          <c:showCatName val="0"/>
          <c:showSerName val="0"/>
          <c:showPercent val="0"/>
          <c:showBubbleSize val="0"/>
        </c:dLbls>
        <c:marker val="1"/>
        <c:smooth val="0"/>
        <c:axId val="39943552"/>
        <c:axId val="39945344"/>
      </c:lineChart>
      <c:catAx>
        <c:axId val="39943552"/>
        <c:scaling>
          <c:orientation val="minMax"/>
        </c:scaling>
        <c:delete val="0"/>
        <c:axPos val="b"/>
        <c:majorTickMark val="none"/>
        <c:minorTickMark val="none"/>
        <c:tickLblPos val="nextTo"/>
        <c:crossAx val="39945344"/>
        <c:crosses val="autoZero"/>
        <c:auto val="1"/>
        <c:lblAlgn val="ctr"/>
        <c:lblOffset val="100"/>
        <c:noMultiLvlLbl val="0"/>
      </c:catAx>
      <c:valAx>
        <c:axId val="39945344"/>
        <c:scaling>
          <c:orientation val="minMax"/>
        </c:scaling>
        <c:delete val="0"/>
        <c:axPos val="l"/>
        <c:majorGridlines/>
        <c:numFmt formatCode="General" sourceLinked="1"/>
        <c:majorTickMark val="none"/>
        <c:minorTickMark val="none"/>
        <c:tickLblPos val="nextTo"/>
        <c:crossAx val="399435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Source of coverage</a:t>
            </a:r>
          </a:p>
        </c:rich>
      </c:tx>
      <c:layout/>
      <c:overlay val="0"/>
    </c:title>
    <c:autoTitleDeleted val="0"/>
    <c:plotArea>
      <c:layout/>
      <c:pie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Sheet1!$A$2:$A$3</c:f>
              <c:strCache>
                <c:ptCount val="2"/>
                <c:pt idx="0">
                  <c:v>Proactive</c:v>
                </c:pt>
                <c:pt idx="1">
                  <c:v>Reactive</c:v>
                </c:pt>
              </c:strCache>
            </c:strRef>
          </c:cat>
          <c:val>
            <c:numRef>
              <c:f>Sheet1!$B$2:$B$3</c:f>
              <c:numCache>
                <c:formatCode>General</c:formatCode>
                <c:ptCount val="2"/>
                <c:pt idx="0">
                  <c:v>97</c:v>
                </c:pt>
                <c:pt idx="1">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Overall balance of coverage</c:v>
                </c:pt>
              </c:strCache>
            </c:strRef>
          </c:tx>
          <c:dLbls>
            <c:showLegendKey val="0"/>
            <c:showVal val="0"/>
            <c:showCatName val="1"/>
            <c:showSerName val="0"/>
            <c:showPercent val="1"/>
            <c:showBubbleSize val="0"/>
            <c:showLeaderLines val="1"/>
          </c:dLbls>
          <c:cat>
            <c:strRef>
              <c:f>Sheet1!$A$2:$A$3</c:f>
              <c:strCache>
                <c:ptCount val="2"/>
                <c:pt idx="0">
                  <c:v>Positive</c:v>
                </c:pt>
                <c:pt idx="1">
                  <c:v>Negative</c:v>
                </c:pt>
              </c:strCache>
            </c:strRef>
          </c:cat>
          <c:val>
            <c:numRef>
              <c:f>Sheet1!$B$2:$B$3</c:f>
              <c:numCache>
                <c:formatCode>General</c:formatCode>
                <c:ptCount val="2"/>
                <c:pt idx="0">
                  <c:v>225</c:v>
                </c:pt>
                <c:pt idx="1">
                  <c:v>61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Mentions by national newspaper/online</a:t>
            </a:r>
          </a:p>
        </c:rich>
      </c:tx>
      <c:layout/>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cat>
            <c:strRef>
              <c:f>Sheet1!$A$2:$A$22</c:f>
              <c:strCache>
                <c:ptCount val="21"/>
                <c:pt idx="0">
                  <c:v>Guardian/Online</c:v>
                </c:pt>
                <c:pt idx="1">
                  <c:v>BBC Online</c:v>
                </c:pt>
                <c:pt idx="2">
                  <c:v>Mail</c:v>
                </c:pt>
                <c:pt idx="3">
                  <c:v>Independent</c:v>
                </c:pt>
                <c:pt idx="4">
                  <c:v>Times</c:v>
                </c:pt>
                <c:pt idx="5">
                  <c:v>Telegraph</c:v>
                </c:pt>
                <c:pt idx="6">
                  <c:v>i</c:v>
                </c:pt>
                <c:pt idx="7">
                  <c:v>ITV News Online</c:v>
                </c:pt>
                <c:pt idx="8">
                  <c:v>Sky News Online</c:v>
                </c:pt>
                <c:pt idx="9">
                  <c:v>Express</c:v>
                </c:pt>
                <c:pt idx="10">
                  <c:v>Mirror</c:v>
                </c:pt>
                <c:pt idx="11">
                  <c:v>Metro</c:v>
                </c:pt>
                <c:pt idx="12">
                  <c:v>LBC Online</c:v>
                </c:pt>
                <c:pt idx="13">
                  <c:v>Sun</c:v>
                </c:pt>
                <c:pt idx="14">
                  <c:v>FT</c:v>
                </c:pt>
                <c:pt idx="15">
                  <c:v>C4 Online</c:v>
                </c:pt>
                <c:pt idx="16">
                  <c:v>Sunday Telegraph</c:v>
                </c:pt>
                <c:pt idx="17">
                  <c:v>Sunday Express</c:v>
                </c:pt>
                <c:pt idx="18">
                  <c:v>Independent on Sunday</c:v>
                </c:pt>
                <c:pt idx="19">
                  <c:v>People</c:v>
                </c:pt>
                <c:pt idx="20">
                  <c:v>Sunday Times</c:v>
                </c:pt>
              </c:strCache>
            </c:strRef>
          </c:cat>
          <c:val>
            <c:numRef>
              <c:f>Sheet1!$B$2:$B$22</c:f>
              <c:numCache>
                <c:formatCode>General</c:formatCode>
                <c:ptCount val="21"/>
                <c:pt idx="0">
                  <c:v>54</c:v>
                </c:pt>
                <c:pt idx="1">
                  <c:v>37</c:v>
                </c:pt>
                <c:pt idx="2">
                  <c:v>16</c:v>
                </c:pt>
                <c:pt idx="3">
                  <c:v>12</c:v>
                </c:pt>
                <c:pt idx="4">
                  <c:v>12</c:v>
                </c:pt>
                <c:pt idx="5">
                  <c:v>12</c:v>
                </c:pt>
                <c:pt idx="6">
                  <c:v>11</c:v>
                </c:pt>
                <c:pt idx="7">
                  <c:v>9</c:v>
                </c:pt>
                <c:pt idx="8">
                  <c:v>7</c:v>
                </c:pt>
                <c:pt idx="9">
                  <c:v>7</c:v>
                </c:pt>
                <c:pt idx="10">
                  <c:v>6</c:v>
                </c:pt>
                <c:pt idx="11">
                  <c:v>4</c:v>
                </c:pt>
                <c:pt idx="12">
                  <c:v>4</c:v>
                </c:pt>
                <c:pt idx="13">
                  <c:v>3</c:v>
                </c:pt>
                <c:pt idx="14">
                  <c:v>3</c:v>
                </c:pt>
                <c:pt idx="15">
                  <c:v>2</c:v>
                </c:pt>
                <c:pt idx="16">
                  <c:v>2</c:v>
                </c:pt>
                <c:pt idx="17">
                  <c:v>1</c:v>
                </c:pt>
                <c:pt idx="18">
                  <c:v>1</c:v>
                </c:pt>
                <c:pt idx="19">
                  <c:v>1</c:v>
                </c:pt>
                <c:pt idx="20">
                  <c:v>1</c:v>
                </c:pt>
              </c:numCache>
            </c:numRef>
          </c:val>
        </c:ser>
        <c:dLbls>
          <c:showLegendKey val="0"/>
          <c:showVal val="1"/>
          <c:showCatName val="0"/>
          <c:showSerName val="0"/>
          <c:showPercent val="0"/>
          <c:showBubbleSize val="0"/>
        </c:dLbls>
        <c:gapWidth val="150"/>
        <c:overlap val="-25"/>
        <c:axId val="134561152"/>
        <c:axId val="117884032"/>
      </c:barChart>
      <c:catAx>
        <c:axId val="134561152"/>
        <c:scaling>
          <c:orientation val="minMax"/>
        </c:scaling>
        <c:delete val="0"/>
        <c:axPos val="b"/>
        <c:numFmt formatCode="General" sourceLinked="1"/>
        <c:majorTickMark val="none"/>
        <c:minorTickMark val="none"/>
        <c:tickLblPos val="nextTo"/>
        <c:crossAx val="117884032"/>
        <c:crosses val="autoZero"/>
        <c:auto val="1"/>
        <c:lblAlgn val="ctr"/>
        <c:lblOffset val="100"/>
        <c:noMultiLvlLbl val="0"/>
      </c:catAx>
      <c:valAx>
        <c:axId val="117884032"/>
        <c:scaling>
          <c:orientation val="minMax"/>
        </c:scaling>
        <c:delete val="1"/>
        <c:axPos val="l"/>
        <c:numFmt formatCode="General" sourceLinked="1"/>
        <c:majorTickMark val="none"/>
        <c:minorTickMark val="none"/>
        <c:tickLblPos val="nextTo"/>
        <c:crossAx val="13456115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Mentions (national</a:t>
            </a:r>
            <a:r>
              <a:rPr lang="en-US" baseline="0"/>
              <a:t> and online) </a:t>
            </a:r>
            <a:r>
              <a:rPr lang="en-US"/>
              <a:t>by spokesperson</a:t>
            </a:r>
          </a:p>
        </c:rich>
      </c:tx>
      <c:layout/>
      <c:overlay val="0"/>
    </c:title>
    <c:autoTitleDeleted val="0"/>
    <c:plotArea>
      <c:layout>
        <c:manualLayout>
          <c:layoutTarget val="inner"/>
          <c:xMode val="edge"/>
          <c:yMode val="edge"/>
          <c:x val="8.7509473080570804E-2"/>
          <c:y val="0.25185392809505375"/>
          <c:w val="0.47481805950726746"/>
          <c:h val="0.66163172226422517"/>
        </c:manualLayout>
      </c:layout>
      <c:pieChart>
        <c:varyColors val="1"/>
        <c:ser>
          <c:idx val="0"/>
          <c:order val="0"/>
          <c:tx>
            <c:strRef>
              <c:f>Sheet1!$B$1</c:f>
              <c:strCache>
                <c:ptCount val="1"/>
                <c:pt idx="0">
                  <c:v>National mentions by spokesman</c:v>
                </c:pt>
              </c:strCache>
            </c:strRef>
          </c:tx>
          <c:explosion val="25"/>
          <c:dLbls>
            <c:showLegendKey val="0"/>
            <c:showVal val="0"/>
            <c:showCatName val="0"/>
            <c:showSerName val="0"/>
            <c:showPercent val="1"/>
            <c:showBubbleSize val="0"/>
            <c:showLeaderLines val="1"/>
          </c:dLbls>
          <c:cat>
            <c:strRef>
              <c:f>Sheet1!$A$2:$A$10</c:f>
              <c:strCache>
                <c:ptCount val="9"/>
                <c:pt idx="0">
                  <c:v>Sir Merrick Cockell - 8%</c:v>
                </c:pt>
                <c:pt idx="1">
                  <c:v>Cllr Peter Box - 24%</c:v>
                </c:pt>
                <c:pt idx="2">
                  <c:v>Cllr David Simmonds - 11%</c:v>
                </c:pt>
                <c:pt idx="3">
                  <c:v>Cllr Katie Hall - 5%</c:v>
                </c:pt>
                <c:pt idx="4">
                  <c:v>Cllr Mike Jones - 3%</c:v>
                </c:pt>
                <c:pt idx="5">
                  <c:v>Cllr Tony Page - 3%</c:v>
                </c:pt>
                <c:pt idx="6">
                  <c:v>Cllr Sharon Taylor - 2%</c:v>
                </c:pt>
                <c:pt idx="7">
                  <c:v>Cllr Peter Fleming - 1%</c:v>
                </c:pt>
                <c:pt idx="8">
                  <c:v>Spokesman/mentioned/other - 43%</c:v>
                </c:pt>
              </c:strCache>
            </c:strRef>
          </c:cat>
          <c:val>
            <c:numRef>
              <c:f>Sheet1!$B$2:$B$10</c:f>
              <c:numCache>
                <c:formatCode>General</c:formatCode>
                <c:ptCount val="9"/>
                <c:pt idx="0">
                  <c:v>13</c:v>
                </c:pt>
                <c:pt idx="1">
                  <c:v>41</c:v>
                </c:pt>
                <c:pt idx="2">
                  <c:v>19</c:v>
                </c:pt>
                <c:pt idx="3">
                  <c:v>8</c:v>
                </c:pt>
                <c:pt idx="4">
                  <c:v>5</c:v>
                </c:pt>
                <c:pt idx="5">
                  <c:v>5</c:v>
                </c:pt>
                <c:pt idx="6">
                  <c:v>3</c:v>
                </c:pt>
                <c:pt idx="7">
                  <c:v>2</c:v>
                </c:pt>
                <c:pt idx="8">
                  <c:v>73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567471713094692"/>
          <c:y val="0.23679665041869766"/>
          <c:w val="0.32174825205672819"/>
          <c:h val="0.6954657468969116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800"/>
          </a:pPr>
          <a:endParaRPr lang="en-US"/>
        </a:p>
      </c:txPr>
    </c:title>
    <c:autoTitleDeleted val="0"/>
    <c:plotArea>
      <c:layout>
        <c:manualLayout>
          <c:layoutTarget val="inner"/>
          <c:xMode val="edge"/>
          <c:yMode val="edge"/>
          <c:x val="0.14832916473676083"/>
          <c:y val="0.17826104512855626"/>
          <c:w val="0.82291266532859864"/>
          <c:h val="0.76376794037869011"/>
        </c:manualLayout>
      </c:layout>
      <c:barChart>
        <c:barDir val="bar"/>
        <c:grouping val="clustered"/>
        <c:varyColors val="0"/>
        <c:ser>
          <c:idx val="0"/>
          <c:order val="0"/>
          <c:tx>
            <c:strRef>
              <c:f>Sheet1!$B$1</c:f>
              <c:strCache>
                <c:ptCount val="1"/>
                <c:pt idx="0">
                  <c:v>Broadcast mentions</c:v>
                </c:pt>
              </c:strCache>
            </c:strRef>
          </c:tx>
          <c:invertIfNegative val="0"/>
          <c:cat>
            <c:strRef>
              <c:f>Sheet1!$A$2:$A$14</c:f>
              <c:strCache>
                <c:ptCount val="13"/>
                <c:pt idx="0">
                  <c:v>Sky Sports News</c:v>
                </c:pt>
                <c:pt idx="1">
                  <c:v>This Week</c:v>
                </c:pt>
                <c:pt idx="2">
                  <c:v>TalkSPORT</c:v>
                </c:pt>
                <c:pt idx="3">
                  <c:v>ITV</c:v>
                </c:pt>
                <c:pt idx="4">
                  <c:v>Daily Politics</c:v>
                </c:pt>
                <c:pt idx="5">
                  <c:v>Radio 1</c:v>
                </c:pt>
                <c:pt idx="6">
                  <c:v>Radio 3</c:v>
                </c:pt>
                <c:pt idx="7">
                  <c:v>Sky News</c:v>
                </c:pt>
                <c:pt idx="8">
                  <c:v>Radio 2</c:v>
                </c:pt>
                <c:pt idx="9">
                  <c:v>Radio 4</c:v>
                </c:pt>
                <c:pt idx="10">
                  <c:v>LBC</c:v>
                </c:pt>
                <c:pt idx="11">
                  <c:v>5 Live</c:v>
                </c:pt>
                <c:pt idx="12">
                  <c:v>BBC News</c:v>
                </c:pt>
              </c:strCache>
            </c:strRef>
          </c:cat>
          <c:val>
            <c:numRef>
              <c:f>Sheet1!$B$2:$B$14</c:f>
              <c:numCache>
                <c:formatCode>General</c:formatCode>
                <c:ptCount val="13"/>
                <c:pt idx="0">
                  <c:v>1</c:v>
                </c:pt>
                <c:pt idx="1">
                  <c:v>1</c:v>
                </c:pt>
                <c:pt idx="2">
                  <c:v>1</c:v>
                </c:pt>
                <c:pt idx="3">
                  <c:v>2</c:v>
                </c:pt>
                <c:pt idx="4">
                  <c:v>2</c:v>
                </c:pt>
                <c:pt idx="5">
                  <c:v>2</c:v>
                </c:pt>
                <c:pt idx="6">
                  <c:v>2</c:v>
                </c:pt>
                <c:pt idx="7">
                  <c:v>9</c:v>
                </c:pt>
                <c:pt idx="8">
                  <c:v>10</c:v>
                </c:pt>
                <c:pt idx="9">
                  <c:v>11</c:v>
                </c:pt>
                <c:pt idx="10">
                  <c:v>13</c:v>
                </c:pt>
                <c:pt idx="11">
                  <c:v>17</c:v>
                </c:pt>
                <c:pt idx="12">
                  <c:v>23</c:v>
                </c:pt>
              </c:numCache>
            </c:numRef>
          </c:val>
        </c:ser>
        <c:dLbls>
          <c:showLegendKey val="0"/>
          <c:showVal val="1"/>
          <c:showCatName val="0"/>
          <c:showSerName val="0"/>
          <c:showPercent val="0"/>
          <c:showBubbleSize val="0"/>
        </c:dLbls>
        <c:gapWidth val="150"/>
        <c:overlap val="-25"/>
        <c:axId val="149736832"/>
        <c:axId val="149742720"/>
      </c:barChart>
      <c:catAx>
        <c:axId val="149736832"/>
        <c:scaling>
          <c:orientation val="minMax"/>
        </c:scaling>
        <c:delete val="0"/>
        <c:axPos val="l"/>
        <c:majorTickMark val="none"/>
        <c:minorTickMark val="none"/>
        <c:tickLblPos val="nextTo"/>
        <c:crossAx val="149742720"/>
        <c:crosses val="autoZero"/>
        <c:auto val="1"/>
        <c:lblAlgn val="ctr"/>
        <c:lblOffset val="100"/>
        <c:noMultiLvlLbl val="0"/>
      </c:catAx>
      <c:valAx>
        <c:axId val="149742720"/>
        <c:scaling>
          <c:orientation val="minMax"/>
        </c:scaling>
        <c:delete val="1"/>
        <c:axPos val="b"/>
        <c:numFmt formatCode="General" sourceLinked="1"/>
        <c:majorTickMark val="none"/>
        <c:minorTickMark val="none"/>
        <c:tickLblPos val="nextTo"/>
        <c:crossAx val="14973683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Broadcast interviews by spokesman</c:v>
                </c:pt>
              </c:strCache>
            </c:strRef>
          </c:tx>
          <c:explosion val="25"/>
          <c:dLbls>
            <c:showLegendKey val="0"/>
            <c:showVal val="0"/>
            <c:showCatName val="0"/>
            <c:showSerName val="0"/>
            <c:showPercent val="1"/>
            <c:showBubbleSize val="0"/>
            <c:showLeaderLines val="1"/>
          </c:dLbls>
          <c:cat>
            <c:strRef>
              <c:f>Sheet1!$A$2:$A$9</c:f>
              <c:strCache>
                <c:ptCount val="8"/>
                <c:pt idx="0">
                  <c:v>Sir Merrick Cockell - 2%</c:v>
                </c:pt>
                <c:pt idx="1">
                  <c:v>Cllr David Simmonds - 13%</c:v>
                </c:pt>
                <c:pt idx="2">
                  <c:v>Cllr Peter Fleming - 13%</c:v>
                </c:pt>
                <c:pt idx="3">
                  <c:v>Cllr Clyde Loakes - 6%</c:v>
                </c:pt>
                <c:pt idx="4">
                  <c:v>Cllr Tony Page - 2%</c:v>
                </c:pt>
                <c:pt idx="5">
                  <c:v>Cllr Jonathan McShane - 2%</c:v>
                </c:pt>
                <c:pt idx="6">
                  <c:v>Cllr Sharon Taylor - 2%</c:v>
                </c:pt>
                <c:pt idx="7">
                  <c:v>Mentioned/other  - 60%</c:v>
                </c:pt>
              </c:strCache>
            </c:strRef>
          </c:cat>
          <c:val>
            <c:numRef>
              <c:f>Sheet1!$B$2:$B$9</c:f>
              <c:numCache>
                <c:formatCode>General</c:formatCode>
                <c:ptCount val="8"/>
                <c:pt idx="0">
                  <c:v>2</c:v>
                </c:pt>
                <c:pt idx="1">
                  <c:v>11</c:v>
                </c:pt>
                <c:pt idx="2">
                  <c:v>11</c:v>
                </c:pt>
                <c:pt idx="3">
                  <c:v>5</c:v>
                </c:pt>
                <c:pt idx="4">
                  <c:v>2</c:v>
                </c:pt>
                <c:pt idx="5">
                  <c:v>2</c:v>
                </c:pt>
                <c:pt idx="6">
                  <c:v>2</c:v>
                </c:pt>
                <c:pt idx="7">
                  <c:v>52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262136524277"/>
          <c:y val="0.12755166910668828"/>
          <c:w val="0.33994729989459976"/>
          <c:h val="0.85201545786676158"/>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a:t>Coverage by portfolio</a:t>
            </a:r>
          </a:p>
        </c:rich>
      </c:tx>
      <c:layout>
        <c:manualLayout>
          <c:xMode val="edge"/>
          <c:yMode val="edge"/>
          <c:x val="0.27192005664606328"/>
          <c:y val="2.3880597014925373E-2"/>
        </c:manualLayout>
      </c:layout>
      <c:overlay val="0"/>
    </c:title>
    <c:autoTitleDeleted val="0"/>
    <c:plotArea>
      <c:layout/>
      <c:pieChart>
        <c:varyColors val="1"/>
        <c:ser>
          <c:idx val="0"/>
          <c:order val="0"/>
          <c:tx>
            <c:strRef>
              <c:f>Sheet1!$B$1</c:f>
              <c:strCache>
                <c:ptCount val="1"/>
                <c:pt idx="0">
                  <c:v>Sales</c:v>
                </c:pt>
              </c:strCache>
            </c:strRef>
          </c:tx>
          <c:explosion val="25"/>
          <c:dLbls>
            <c:showLegendKey val="0"/>
            <c:showVal val="0"/>
            <c:showCatName val="0"/>
            <c:showSerName val="0"/>
            <c:showPercent val="1"/>
            <c:showBubbleSize val="0"/>
            <c:showLeaderLines val="1"/>
          </c:dLbls>
          <c:cat>
            <c:strRef>
              <c:f>Sheet1!$A$2:$A$11</c:f>
              <c:strCache>
                <c:ptCount val="10"/>
                <c:pt idx="0">
                  <c:v>Economy and Transport - 29%</c:v>
                </c:pt>
                <c:pt idx="1">
                  <c:v>Children and Young People - 17%</c:v>
                </c:pt>
                <c:pt idx="2">
                  <c:v>Community Wellbeing - 12%</c:v>
                </c:pt>
                <c:pt idx="3">
                  <c:v>Community Safety - 9%</c:v>
                </c:pt>
                <c:pt idx="4">
                  <c:v>Environment, Housing and Planning - 9%</c:v>
                </c:pt>
                <c:pt idx="5">
                  <c:v>Finance - 8%</c:v>
                </c:pt>
                <c:pt idx="6">
                  <c:v>Workforce - 6%</c:v>
                </c:pt>
                <c:pt idx="7">
                  <c:v>Improvement - 4%</c:v>
                </c:pt>
                <c:pt idx="8">
                  <c:v>Localism - 4%</c:v>
                </c:pt>
                <c:pt idx="9">
                  <c:v>Culture, Tourism and Sport - 2%</c:v>
                </c:pt>
              </c:strCache>
            </c:strRef>
          </c:cat>
          <c:val>
            <c:numRef>
              <c:f>Sheet1!$B$2:$B$11</c:f>
              <c:numCache>
                <c:formatCode>General</c:formatCode>
                <c:ptCount val="10"/>
                <c:pt idx="0">
                  <c:v>82</c:v>
                </c:pt>
                <c:pt idx="1">
                  <c:v>50</c:v>
                </c:pt>
                <c:pt idx="2">
                  <c:v>34</c:v>
                </c:pt>
                <c:pt idx="3">
                  <c:v>26</c:v>
                </c:pt>
                <c:pt idx="4">
                  <c:v>26</c:v>
                </c:pt>
                <c:pt idx="5">
                  <c:v>22</c:v>
                </c:pt>
                <c:pt idx="6">
                  <c:v>16</c:v>
                </c:pt>
                <c:pt idx="7">
                  <c:v>13</c:v>
                </c:pt>
                <c:pt idx="8">
                  <c:v>12</c:v>
                </c:pt>
                <c:pt idx="9">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068965517241381"/>
          <c:y val="0.10841817080557238"/>
          <c:w val="0.341446923597025"/>
          <c:h val="0.8748511205330102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10</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Burns</dc:creator>
  <cp:lastModifiedBy>Stephen Service</cp:lastModifiedBy>
  <cp:revision>15</cp:revision>
  <cp:lastPrinted>2014-07-04T09:03:00Z</cp:lastPrinted>
  <dcterms:created xsi:type="dcterms:W3CDTF">2014-07-03T16:19:00Z</dcterms:created>
  <dcterms:modified xsi:type="dcterms:W3CDTF">2014-07-11T14:32:00Z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 boyle</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2014-07-04T00:00:00Z</vt:lpwstr>
  </op:property>
  <op:property fmtid="{D5CDD505-2E9C-101B-9397-08002B2CF9AE}" pid="10" name="e-GMS.subject.keyword">
    <vt:lpwstr>LGA Office Holders</vt:lpwstr>
  </op:property>
  <op:property fmtid="{D5CDD505-2E9C-101B-9397-08002B2CF9AE}" pid="11" name="Date">
    <vt:lpwstr>2014-07-04T00:00:00Z</vt:lpwstr>
  </op:property>
  <op:property fmtid="{D5CDD505-2E9C-101B-9397-08002B2CF9AE}" pid="12" name="Title">
    <vt:lpwstr>Communications Report - LB 16.7.14</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